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Acest tabel conține logoul Comisiei Europene în coloana din stânga și informații despre entitatea organizațională a semnatarului sau autorului în coloana din dreapta."/>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ogoul Comisiei Europene, 12 stele galbene pe un fond albastru, dispuse în cerc și încadrate de două elemente grafice gri-deschis reprezentând clădirea Berlaymont, sediul Comisie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COMISIA EUROPEANĂ</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DIRECȚIA GENERALĂ OCUPAREA FORȚEI DE MUNCĂ, AFACERI SOCIALE ȘI INCLUZIUNE</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Direcția E „Mobilitatea forței de muncă și afaceri internaționale”</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Unitatea E1 „Mobilitatea forței de muncă, servicii publice de ocupare a forței de muncă, ELA”</w:t>
                    </w:r>
                  </w:sdtContent>
                </w:sdt>
              </w:p>
            </w:tc>
          </w:tr>
        </w:sdtContent>
      </w:sdt>
    </w:tbl>
    <w:p w14:paraId="40810E1C" w14:textId="615BFA28" w:rsidR="007F14FC" w:rsidRPr="00B95F32" w:rsidRDefault="007F14FC" w:rsidP="001F4C2B">
      <w:pPr>
        <w:pStyle w:val="Heading2"/>
      </w:pPr>
      <w:r>
        <w:t xml:space="preserve">Declarație privind accesibilitatea pentru Europass</w:t>
      </w:r>
    </w:p>
    <w:p w14:paraId="4078DA32" w14:textId="740123A6" w:rsidR="007F14FC" w:rsidRPr="007F14FC" w:rsidRDefault="35E89FFF" w:rsidP="007F14FC">
      <w:pPr>
        <w:pStyle w:val="Text1"/>
        <w:ind w:left="0"/>
      </w:pPr>
      <w:r>
        <w:t xml:space="preserve">Această declarație vizează conținutul publicat pe domeniul</w:t>
      </w:r>
      <w:r>
        <w:t xml:space="preserve"> </w:t>
      </w:r>
      <w:hyperlink r:id="rId12">
        <w:r>
          <w:rPr>
            <w:rStyle w:val="Hyperlink"/>
          </w:rPr>
          <w:t xml:space="preserve">https://europa.eu/europass</w:t>
        </w:r>
      </w:hyperlink>
      <w:r>
        <w:t xml:space="preserve"> și toate subdomeniile sale.</w:t>
      </w:r>
      <w:r>
        <w:t xml:space="preserve"> </w:t>
      </w:r>
    </w:p>
    <w:p w14:paraId="54D3743B" w14:textId="6748B4D5" w:rsidR="007F14FC" w:rsidRPr="007F14FC" w:rsidRDefault="35E89FFF" w:rsidP="007F14FC">
      <w:pPr>
        <w:pStyle w:val="Text1"/>
        <w:ind w:left="0"/>
      </w:pPr>
      <w:r>
        <w:t xml:space="preserve">Acest site este gestionat de DG EMPL – Unitatea E1</w:t>
      </w:r>
      <w:r>
        <w:t xml:space="preserve"> </w:t>
      </w:r>
      <w:r>
        <w:t xml:space="preserve">și este conceput pentru a fi utilizat de cât mai multe persoane, inclusiv de persoanele cu handicap.</w:t>
      </w:r>
    </w:p>
    <w:p w14:paraId="4F1ECE61" w14:textId="77777777" w:rsidR="00E35A7A" w:rsidRPr="007F14FC" w:rsidRDefault="00E35A7A" w:rsidP="00E35A7A">
      <w:r>
        <w:t xml:space="preserve">Toți utilizatorii ar trebui să poată:</w:t>
      </w:r>
    </w:p>
    <w:p w14:paraId="1F89F2F7" w14:textId="14FAC846" w:rsidR="00225512" w:rsidRPr="00AF1993" w:rsidRDefault="00AC4598" w:rsidP="009D007D">
      <w:pPr>
        <w:pStyle w:val="ListParagraph"/>
        <w:numPr>
          <w:ilvl w:val="0"/>
          <w:numId w:val="38"/>
        </w:numPr>
      </w:pPr>
      <w:r>
        <w:t xml:space="preserve">să mărească textul cu până la 200 % fără probleme</w:t>
      </w:r>
    </w:p>
    <w:p w14:paraId="0A3AB54A" w14:textId="77777777" w:rsidR="00225512" w:rsidRPr="00AF1993" w:rsidRDefault="00225512" w:rsidP="00225512">
      <w:pPr>
        <w:pStyle w:val="ListParagraph"/>
        <w:numPr>
          <w:ilvl w:val="0"/>
          <w:numId w:val="38"/>
        </w:numPr>
      </w:pPr>
      <w:r>
        <w:t xml:space="preserve">să acceseze majoritatea paginilor site-ului utilizând doar tastatura</w:t>
      </w:r>
    </w:p>
    <w:p w14:paraId="520AE6B3" w14:textId="105D7D13" w:rsidR="000126E5" w:rsidRPr="00AF1993" w:rsidRDefault="00225512" w:rsidP="009D007D">
      <w:pPr>
        <w:pStyle w:val="ListParagraph"/>
        <w:numPr>
          <w:ilvl w:val="0"/>
          <w:numId w:val="33"/>
        </w:numPr>
      </w:pPr>
      <w:r>
        <w:t xml:space="preserve">să navigheze pe cea mai mare parte a site-ului cu ajutorul cititoarelor moderne de ecran și al software-urilor de recunoaștere vocală (pe calculator sau telefon).</w:t>
      </w:r>
      <w:r>
        <w:t xml:space="preserve"> </w:t>
      </w:r>
    </w:p>
    <w:p w14:paraId="1A4510C6" w14:textId="3A06EEAA" w:rsidR="00E35A7A" w:rsidRPr="007F14FC" w:rsidRDefault="00E35A7A" w:rsidP="000126E5">
      <w:r>
        <w:t xml:space="preserve">Site-ul este conceput în așa fel încât să se conformeze </w:t>
      </w:r>
      <w:hyperlink r:id="rId13">
        <w:r>
          <w:rPr>
            <w:color w:val="0563C1" w:themeColor="hyperlink"/>
            <w:u w:val="single"/>
          </w:rPr>
          <w:t xml:space="preserve">standardului tehnic EN 301 549 (v.3.2.1) pentru site-uri și aplicații mobile</w:t>
        </w:r>
      </w:hyperlink>
      <w:r>
        <w:t xml:space="preserve">.</w:t>
      </w:r>
      <w:r>
        <w:t xml:space="preserve"> </w:t>
      </w:r>
      <w:r>
        <w:t xml:space="preserve">Este respectat îndeaproape nivelul AA al </w:t>
      </w:r>
      <w:hyperlink r:id="rId14">
        <w:r>
          <w:rPr>
            <w:color w:val="0563C1" w:themeColor="hyperlink"/>
            <w:u w:val="single"/>
          </w:rPr>
          <w:t xml:space="preserve">Orientărilor privind accesibilitatea conținutului web (WCAG) – versiunea 2.1</w:t>
        </w:r>
      </w:hyperlink>
      <w:r>
        <w:t xml:space="preserve">.</w:t>
      </w:r>
    </w:p>
    <w:p w14:paraId="66A12D4E" w14:textId="77777777" w:rsidR="00E35A7A" w:rsidRPr="00E35A7A" w:rsidRDefault="00E35A7A" w:rsidP="00E35A7A">
      <w:pPr>
        <w:keepNext/>
        <w:spacing w:after="0"/>
        <w:jc w:val="left"/>
        <w:outlineLvl w:val="1"/>
        <w:rPr>
          <w:b/>
        </w:rPr>
      </w:pPr>
      <w:r>
        <w:rPr>
          <w:b/>
        </w:rPr>
        <w:t xml:space="preserve">Conformitate</w:t>
      </w:r>
      <w:r>
        <w:rPr>
          <w:b/>
        </w:rPr>
        <w:br/>
      </w:r>
    </w:p>
    <w:p w14:paraId="66C3D011" w14:textId="6AC3AC33" w:rsidR="00225512" w:rsidRPr="00E84E56" w:rsidRDefault="0AC43EA8" w:rsidP="00225512">
      <w:r>
        <w:t xml:space="preserve">Acest site este parțial </w:t>
      </w:r>
      <w:r>
        <w:rPr>
          <w:b/>
        </w:rPr>
        <w:t xml:space="preserve">conform</w:t>
      </w:r>
      <w:r>
        <w:t xml:space="preserve"> cu </w:t>
      </w:r>
      <w:hyperlink r:id="rId15">
        <w:r>
          <w:rPr>
            <w:rStyle w:val="Hyperlink"/>
          </w:rPr>
          <w:t xml:space="preserve">standardul tehnic EN 301 549 (v.3.2.1)</w:t>
        </w:r>
      </w:hyperlink>
      <w:r>
        <w:t xml:space="preserve"> și cu nivelul AA al </w:t>
      </w:r>
      <w:hyperlink r:id="rId16">
        <w:r>
          <w:rPr>
            <w:rStyle w:val="Hyperlink"/>
          </w:rPr>
          <w:t xml:space="preserve">Orientărilor privind accesibilitatea conținutului web (WCAG) – versiunea 2.1</w:t>
        </w:r>
      </w:hyperlink>
      <w:r>
        <w:t xml:space="preserve">.</w:t>
      </w:r>
      <w:r>
        <w:t xml:space="preserve"> </w:t>
      </w:r>
      <w:r>
        <w:t xml:space="preserve">Pentru mai multe detalii, consultați secțiunea „</w:t>
      </w:r>
      <w:hyperlink w:anchor="_Non-accessible_content">
        <w:r>
          <w:rPr>
            <w:rStyle w:val="Hyperlink"/>
          </w:rPr>
          <w:t xml:space="preserve">Conținut inaccesibil</w:t>
        </w:r>
      </w:hyperlink>
      <w:r>
        <w:t xml:space="preserve">”.</w:t>
      </w:r>
    </w:p>
    <w:p w14:paraId="4146F897" w14:textId="0C4BE212" w:rsidR="00E35A7A" w:rsidRPr="007F14FC" w:rsidRDefault="00E35A7A" w:rsidP="00E35A7A">
      <w:r>
        <w:t xml:space="preserve">Site-ul a fost testat ultima dată în aprilie 2023.</w:t>
      </w:r>
    </w:p>
    <w:p w14:paraId="5ABBA2F4" w14:textId="77777777" w:rsidR="00E35A7A" w:rsidRPr="00E35A7A" w:rsidRDefault="00E35A7A" w:rsidP="00E35A7A">
      <w:pPr>
        <w:keepNext/>
        <w:spacing w:after="0"/>
        <w:jc w:val="left"/>
        <w:outlineLvl w:val="1"/>
        <w:rPr>
          <w:b/>
        </w:rPr>
      </w:pPr>
      <w:r>
        <w:rPr>
          <w:b/>
        </w:rPr>
        <w:t xml:space="preserve">Actualizarea declarației</w:t>
      </w:r>
    </w:p>
    <w:p w14:paraId="6B674C45" w14:textId="4612CB79" w:rsidR="00E35A7A" w:rsidRDefault="00E35A7A" w:rsidP="00E35A7A">
      <w:r>
        <w:br/>
      </w:r>
      <w:r>
        <w:t xml:space="preserve">Această declarație a fost actualizată la data de 15.12.2023.</w:t>
      </w:r>
    </w:p>
    <w:p w14:paraId="2918FEE8" w14:textId="77777777" w:rsidR="00E35A7A" w:rsidRPr="00E35A7A" w:rsidRDefault="00E35A7A" w:rsidP="00E35A7A">
      <w:pPr>
        <w:keepNext/>
        <w:spacing w:after="0"/>
        <w:jc w:val="left"/>
        <w:outlineLvl w:val="1"/>
        <w:rPr>
          <w:b/>
        </w:rPr>
      </w:pPr>
      <w:r>
        <w:rPr>
          <w:b/>
        </w:rPr>
        <w:t xml:space="preserve">Observații</w:t>
      </w:r>
    </w:p>
    <w:p w14:paraId="3EF7E625" w14:textId="563019B3" w:rsidR="00E35A7A" w:rsidRPr="007F14FC" w:rsidRDefault="00E35A7A" w:rsidP="00E35A7A">
      <w:r>
        <w:br/>
      </w:r>
      <w:r>
        <w:t xml:space="preserve">Spuneți-ne ce credeți despre accesibilitatea site-ului Europass.</w:t>
      </w:r>
      <w:r>
        <w:t xml:space="preserve"> </w:t>
      </w:r>
      <w:r>
        <w:t xml:space="preserve">Vă rugăm să ne informați dacă întâmpinați obstacole în acest sens.</w:t>
      </w:r>
    </w:p>
    <w:p w14:paraId="4744E771" w14:textId="5A871DF4" w:rsidR="00E35A7A" w:rsidRPr="00EC59D7" w:rsidRDefault="00225512" w:rsidP="009D007D">
      <w:pPr>
        <w:numPr>
          <w:ilvl w:val="0"/>
          <w:numId w:val="23"/>
        </w:numPr>
        <w:ind w:left="720"/>
      </w:pPr>
      <w:r>
        <w:t xml:space="preserve">Număr de telefon:</w:t>
      </w:r>
      <w:r>
        <w:t xml:space="preserve"> </w:t>
      </w:r>
      <w:r>
        <w:rPr>
          <w:b/>
        </w:rPr>
        <w:t xml:space="preserve">00 800 6 7 8 9 10 11</w:t>
      </w:r>
      <w:r>
        <w:t xml:space="preserve"> de oriunde din UE în zilele lucrătoare, între orele 09:00 și 18:00 CET, în orice limbă a UE* (apelurile sunt gratuite).</w:t>
      </w:r>
      <w:r>
        <w:t xml:space="preserve"> </w:t>
      </w:r>
    </w:p>
    <w:p w14:paraId="6EAA89C5" w14:textId="3B41C853" w:rsidR="00EC59D7" w:rsidRPr="00EC59D7" w:rsidRDefault="00E35A7A" w:rsidP="5AC6E6F2">
      <w:pPr>
        <w:numPr>
          <w:ilvl w:val="0"/>
          <w:numId w:val="23"/>
        </w:numPr>
        <w:ind w:left="720"/>
        <w:rPr>
          <w:rStyle w:val="Hyperlink"/>
        </w:rPr>
      </w:pPr>
      <w:r>
        <w:t xml:space="preserve">Formularul pentru observații:</w:t>
      </w:r>
      <w:r>
        <w:t xml:space="preserve"> </w:t>
      </w:r>
      <w:r>
        <w:t xml:space="preserve">Scrieți-ne prin intermediul </w:t>
      </w:r>
      <w:hyperlink r:id="rId17">
        <w:r>
          <w:rPr>
            <w:rStyle w:val="Hyperlink"/>
          </w:rPr>
          <w:t xml:space="preserve">formularului de contact Europass</w:t>
        </w:r>
      </w:hyperlink>
      <w:r>
        <w:t xml:space="preserve">.</w:t>
      </w:r>
    </w:p>
    <w:p w14:paraId="73D4BBF7" w14:textId="5F54F931" w:rsidR="00E35A7A" w:rsidRDefault="00E35A7A" w:rsidP="00EC59D7">
      <w:r>
        <w:t xml:space="preserve">În general, departamentul responsabil din cadrul Comisiei răspunde în termen de 15 zile lucrătoare de la data primirii observațiilor.</w:t>
      </w:r>
    </w:p>
    <w:p w14:paraId="433BF82E" w14:textId="77777777" w:rsidR="00EC7351" w:rsidRPr="00EC7351" w:rsidRDefault="00EC7351" w:rsidP="00EC7351">
      <w:pPr>
        <w:keepNext/>
        <w:spacing w:after="0"/>
        <w:jc w:val="left"/>
        <w:outlineLvl w:val="1"/>
        <w:rPr>
          <w:b/>
        </w:rPr>
      </w:pPr>
      <w:r>
        <w:rPr>
          <w:b/>
        </w:rPr>
        <w:t xml:space="preserve">Compatibilitatea cu browserele și tehnologiile asistive</w:t>
      </w:r>
    </w:p>
    <w:p w14:paraId="6EACC384" w14:textId="0AEFAC39" w:rsidR="00EC7351" w:rsidRPr="007F14FC" w:rsidRDefault="00EC7351" w:rsidP="00EC7351">
      <w:pPr>
        <w:jc w:val="left"/>
      </w:pPr>
      <w:r>
        <w:br/>
      </w:r>
      <w:r>
        <w:t xml:space="preserve">Site-ul Europass este conceput în așa fel încât să fie compatibil cu următoarele tehnologii asistive standard, utilizate cel mai des:</w:t>
      </w:r>
    </w:p>
    <w:p w14:paraId="1F6174D7" w14:textId="6B07A09C" w:rsidR="000338C5" w:rsidRPr="0052454F" w:rsidRDefault="5DCDB69A" w:rsidP="35D7FFF2">
      <w:pPr>
        <w:numPr>
          <w:ilvl w:val="0"/>
          <w:numId w:val="34"/>
        </w:numPr>
        <w:spacing w:after="100" w:afterAutospacing="1"/>
        <w:jc w:val="left"/>
      </w:pPr>
      <w:r>
        <w:t xml:space="preserve">cea mai recentă versiune a browserelor Google Chrome, Mozilla Firefox și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în combinație cu cele mai recente versiuni ale tehnologiilor asistive.</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Specificații tehnice</w:t>
      </w:r>
    </w:p>
    <w:p w14:paraId="56C786BB" w14:textId="77777777" w:rsidR="005A7954" w:rsidRDefault="005A7954" w:rsidP="00EC7351"/>
    <w:p w14:paraId="424F62F5" w14:textId="42F9DF13" w:rsidR="00EC7351" w:rsidRPr="007F14FC" w:rsidRDefault="00EC7351" w:rsidP="00EC7351">
      <w:r>
        <w:t xml:space="preserve">Accesibilitatea site-ului Europass se bazează pe următoarele tehnologii pentru a funcționa cu combinația specifică de browser web și orice tehnologii sau plugin-uri de asistență instalate pe calculatorul dumneavoastră:</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Conținut inaccesibil</w:t>
      </w:r>
    </w:p>
    <w:p w14:paraId="65E180EF" w14:textId="5B05AFB9" w:rsidR="00EC7351" w:rsidRDefault="755E7800" w:rsidP="5AC6E6F2">
      <w:pPr>
        <w:spacing w:before="180" w:line="276" w:lineRule="auto"/>
      </w:pPr>
      <w:r>
        <w:t xml:space="preserve">Ne angajăm să asigurăm accesibilitatea site-ului Europass, dar există totuși limitări cunoscute pe care le abordăm în mod activ.</w:t>
      </w:r>
      <w:r>
        <w:t xml:space="preserve"> </w:t>
      </w:r>
      <w:r>
        <w:t xml:space="preserve">Apreciem înțelegerea și răbdarea de care dați dovadă pe măsură ce depunem eforturi pentru soluționarea acestor probleme.</w:t>
      </w:r>
      <w:r>
        <w:t xml:space="preserve"> </w:t>
      </w:r>
      <w:r>
        <w:t xml:space="preserve">Dacă întâmpinați o altă problemă în materie de accesibilitate, diferită de cele enumerate mai jos, vă rugăm să ne contactați.</w:t>
      </w:r>
    </w:p>
    <w:p w14:paraId="7912D527" w14:textId="3097ED04" w:rsidR="697DA1A5" w:rsidRDefault="160C0568" w:rsidP="200C443E">
      <w:pPr>
        <w:widowControl w:val="0"/>
        <w:spacing w:before="180" w:after="0" w:line="276" w:lineRule="auto"/>
      </w:pPr>
      <w:r>
        <w:rPr>
          <w:b/>
        </w:rPr>
        <w:t xml:space="preserve"> </w:t>
      </w:r>
      <w:r>
        <w:rPr>
          <w:b/>
          <w:bCs/>
        </w:rPr>
        <w:t xml:space="preserve">Limitări cunoscute</w:t>
      </w:r>
      <w:r>
        <w:t xml:space="preserve"> (a căror soluționare este planificată până la sfârșitul anului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Unele pagini au un contrast slab de culori.</w:t>
      </w:r>
    </w:p>
    <w:p w14:paraId="02014850" w14:textId="3C6B2681" w:rsidR="00F1088A" w:rsidRPr="00AF1993" w:rsidRDefault="114595CF" w:rsidP="200C443E">
      <w:pPr>
        <w:pStyle w:val="ListParagraph"/>
        <w:widowControl w:val="0"/>
        <w:numPr>
          <w:ilvl w:val="0"/>
          <w:numId w:val="1"/>
        </w:numPr>
        <w:spacing w:after="0"/>
        <w:jc w:val="left"/>
      </w:pPr>
      <w:r>
        <w:t xml:space="preserve">Unele funcționalități nu sunt accesibile sau au o accesibilitate limitată pentru utilizatorii care folosesc doar tastatura.</w:t>
      </w:r>
    </w:p>
    <w:p w14:paraId="53F04822" w14:textId="5AF5DBE1" w:rsidR="00D924E7" w:rsidRDefault="114595CF" w:rsidP="200C443E">
      <w:pPr>
        <w:pStyle w:val="ListParagraph"/>
        <w:widowControl w:val="0"/>
        <w:numPr>
          <w:ilvl w:val="0"/>
          <w:numId w:val="1"/>
        </w:numPr>
        <w:spacing w:after="0"/>
        <w:jc w:val="left"/>
      </w:pPr>
      <w:r>
        <w:t xml:space="preserve">Majoritatea elementelor vizuale nu au descrieri de text alternativ în limba corespunzătoare.</w:t>
      </w:r>
    </w:p>
    <w:p w14:paraId="35CC691A" w14:textId="24189EB3" w:rsidR="00EC59D7" w:rsidRPr="00AF1993" w:rsidRDefault="350041B7" w:rsidP="200C443E">
      <w:pPr>
        <w:pStyle w:val="ListParagraph"/>
        <w:widowControl w:val="0"/>
        <w:numPr>
          <w:ilvl w:val="0"/>
          <w:numId w:val="1"/>
        </w:numPr>
        <w:spacing w:after="0"/>
        <w:jc w:val="left"/>
      </w:pPr>
      <w:r>
        <w:t xml:space="preserve">Unele câmpuri nu au etichete pentru cititoare de ecran sau tehnologii asistive similare.</w:t>
      </w:r>
    </w:p>
    <w:p w14:paraId="2160CF67" w14:textId="1842C882" w:rsidR="00D924E7" w:rsidRPr="00AF1993" w:rsidRDefault="114595CF" w:rsidP="200C443E">
      <w:pPr>
        <w:pStyle w:val="ListParagraph"/>
        <w:widowControl w:val="0"/>
        <w:numPr>
          <w:ilvl w:val="0"/>
          <w:numId w:val="1"/>
        </w:numPr>
        <w:spacing w:after="0"/>
        <w:jc w:val="left"/>
      </w:pPr>
      <w:r>
        <w:t xml:space="preserve">Unele mesaje de eroare nu sunt asociate în mod clar cu controale de formular.</w:t>
      </w:r>
    </w:p>
    <w:p w14:paraId="1A015EAA" w14:textId="34A2DFAA" w:rsidR="00D924E7" w:rsidRDefault="114595CF" w:rsidP="200C443E">
      <w:pPr>
        <w:pStyle w:val="ListParagraph"/>
        <w:widowControl w:val="0"/>
        <w:numPr>
          <w:ilvl w:val="0"/>
          <w:numId w:val="1"/>
        </w:numPr>
        <w:spacing w:after="0"/>
        <w:jc w:val="left"/>
      </w:pPr>
      <w:r>
        <w:t xml:space="preserve">Unele documente sunt în format PDF și nu sunt accesibile.</w:t>
      </w:r>
    </w:p>
    <w:p w14:paraId="080F47A3" w14:textId="035BC469" w:rsidR="00AC4598" w:rsidRDefault="114595CF" w:rsidP="200C443E">
      <w:pPr>
        <w:pStyle w:val="ListParagraph"/>
        <w:widowControl w:val="0"/>
        <w:numPr>
          <w:ilvl w:val="0"/>
          <w:numId w:val="1"/>
        </w:numPr>
        <w:spacing w:after="0"/>
        <w:jc w:val="left"/>
      </w:pPr>
      <w:r>
        <w:t xml:space="preserve">Unele pagini nu sunt pe deplin adaptate pentru cititoarele de ecran sau pentru tehnologiile asistive similare.</w:t>
      </w:r>
    </w:p>
    <w:p w14:paraId="18FF54C3" w14:textId="2C0A54B5" w:rsidR="00AC4598" w:rsidRDefault="114595CF" w:rsidP="200C443E">
      <w:pPr>
        <w:pStyle w:val="ListParagraph"/>
        <w:widowControl w:val="0"/>
        <w:numPr>
          <w:ilvl w:val="0"/>
          <w:numId w:val="1"/>
        </w:numPr>
        <w:spacing w:after="0"/>
        <w:jc w:val="left"/>
      </w:pPr>
      <w:r>
        <w:t xml:space="preserve">Unele rubrici nu sunt structurate corect pentru tehnologiile asistive.</w:t>
      </w:r>
    </w:p>
    <w:p w14:paraId="2AE23792" w14:textId="6B0D5125" w:rsidR="00896DC0" w:rsidRDefault="407DE4EE" w:rsidP="200C443E">
      <w:pPr>
        <w:pStyle w:val="ListParagraph"/>
        <w:widowControl w:val="0"/>
        <w:numPr>
          <w:ilvl w:val="0"/>
          <w:numId w:val="1"/>
        </w:numPr>
        <w:spacing w:after="0"/>
        <w:jc w:val="left"/>
      </w:pPr>
      <w:r>
        <w:t xml:space="preserve">Unele pagini au elemente de conținut, cum ar fi tabele și meniuri laterale, care s-ar putea să nu fie accesibile.</w:t>
      </w:r>
    </w:p>
    <w:p w14:paraId="6CF69CF9" w14:textId="1E9D0B6C" w:rsidR="00896DC0" w:rsidRDefault="407DE4EE">
      <w:pPr>
        <w:pStyle w:val="ListParagraph"/>
        <w:widowControl w:val="0"/>
        <w:numPr>
          <w:ilvl w:val="0"/>
          <w:numId w:val="1"/>
        </w:numPr>
        <w:spacing w:after="0"/>
        <w:jc w:val="left"/>
      </w:pPr>
      <w:r>
        <w:t xml:space="preserve">Unele URL-uri nu au nume de cale corecte sau ușor de înțeles.</w:t>
      </w:r>
    </w:p>
    <w:p w14:paraId="427C5223" w14:textId="1EB5E7DE" w:rsidR="00BE0E7F" w:rsidRDefault="0803AE8C" w:rsidP="200C443E">
      <w:pPr>
        <w:pStyle w:val="ListParagraph"/>
        <w:widowControl w:val="0"/>
        <w:numPr>
          <w:ilvl w:val="0"/>
          <w:numId w:val="1"/>
        </w:numPr>
        <w:spacing w:after="0"/>
        <w:jc w:val="left"/>
      </w:pPr>
      <w:r>
        <w:t xml:space="preserve">Unele elemente nu sunt pe deplin adaptate la aplicațiile mobile.</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Pagina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din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ro-RO"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ro/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COMISIA EUROPEANĂ</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DIRECȚIA GENERALĂ OCUPAREA FORȚEI DE MUNCĂ, AFACERI SOCIALE ȘI INCLUZIUNE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Direcția E „Mobilitatea forței de muncă și afaceri internaționale”</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Unitatea E1 „Mobilitatea forței de muncă, servicii publice de ocupare a forței de muncă,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