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Din it-tabella fiha l-logo tal-Kummissjoni Ewropea fil-kolonna tax-xellug u l-informazzjoni dwar l-entità organizzattiva tal-firmatarju jew tal-kittieb fil-kolonna tal-lemin."/>
      </w:tblPr>
      <w:tblGrid>
        <w:gridCol w:w="2400"/>
        <w:gridCol w:w="7080"/>
      </w:tblGrid>
      <w:sdt>
        <w:sdtPr>
          <w:rPr>
            <w:sz w:val="16"/>
          </w:rPr>
          <w:alias w:val="EC Header - Standar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color w:val="2B579A"/>
                    <w:shd w:val="clear" w:color="auto" w:fill="E6E6E6"/>
                  </w:rPr>
                  <w:drawing>
                    <wp:inline distT="0" distB="0" distL="0" distR="0" wp14:anchorId="528B0FAA" wp14:editId="3BE4CA6B">
                      <wp:extent cx="1371600" cy="676800"/>
                      <wp:effectExtent l="0" t="0" r="0" b="0"/>
                      <wp:docPr id="1" name="Picture 1" descr="Il-logo tal-Kummissjoni Ewropea, 12-il stilla safra fuq sfond blu rranġati f’għamla ta’ ċirku u inkwadrati b’żewġ elementi grafiċi griżi ċari li jirrappreżentaw il-bini ta’ Berlaymont, li hu l-kwartieri ġenerali tal-Kummissjoni Ew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954723">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t xml:space="preserve">IL-KUMMISSJONI EWROPEA</w:t>
                    </w:r>
                  </w:sdtContent>
                </w:sdt>
              </w:p>
              <w:p w14:paraId="2074A464" w14:textId="39B41681" w:rsidR="00FE373C" w:rsidRPr="007F14FC" w:rsidRDefault="00954723">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Pr>
                        <w:caps/>
                      </w:rPr>
                      <w:t xml:space="preserve">ID-DIRETTORAT ĠENERALI tal-Impjiegi, l-Affarijiet Soċjali u l-Inklużjoni</w:t>
                    </w:r>
                  </w:sdtContent>
                </w:sdt>
              </w:p>
              <w:p w14:paraId="35D34AB3" w14:textId="77777777" w:rsidR="00FE373C" w:rsidRPr="007F14FC" w:rsidRDefault="00FE373C">
                <w:pPr>
                  <w:pStyle w:val="ZDGName"/>
                </w:pPr>
              </w:p>
              <w:p w14:paraId="05E57B9D" w14:textId="4CD0133A" w:rsidR="00FE373C" w:rsidRPr="007F14FC" w:rsidRDefault="00954723">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t xml:space="preserve">Id-Direttorat E Mobilità tal-Forza tax-Xogħol u Affarijiet Internazzjonali</w:t>
                    </w:r>
                  </w:sdtContent>
                </w:sdt>
              </w:p>
              <w:p w14:paraId="4FC3ED8E" w14:textId="657E7308" w:rsidR="00FE373C" w:rsidRPr="007F14FC" w:rsidRDefault="00954723"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Pr>
                        <w:b/>
                      </w:rPr>
                      <w:t xml:space="preserve">L-Unità E1 Il-Mobilità tal-Forza tax-Xogħol, is-Servizzi Pubbliċi tal-Impjiegi, ELA</w:t>
                    </w:r>
                  </w:sdtContent>
                </w:sdt>
              </w:p>
            </w:tc>
          </w:tr>
        </w:sdtContent>
      </w:sdt>
    </w:tbl>
    <w:p w14:paraId="40810E1C" w14:textId="615BFA28" w:rsidR="007F14FC" w:rsidRPr="00B95F32" w:rsidRDefault="007F14FC" w:rsidP="001F4C2B">
      <w:pPr>
        <w:pStyle w:val="Heading2"/>
      </w:pPr>
      <w:r>
        <w:t xml:space="preserve">Dikjarazzjoni ta’ aċċessibbiltà għall-Europass</w:t>
      </w:r>
    </w:p>
    <w:p w14:paraId="4078DA32" w14:textId="740123A6" w:rsidR="007F14FC" w:rsidRPr="007F14FC" w:rsidRDefault="35E89FFF" w:rsidP="007F14FC">
      <w:pPr>
        <w:pStyle w:val="Text1"/>
        <w:ind w:left="0"/>
      </w:pPr>
      <w:r>
        <w:t xml:space="preserve">Din id-dikjarazzjoni tapplika għall-kontenut ippubblikat fid-dominju:</w:t>
      </w:r>
      <w:r>
        <w:t xml:space="preserve"> </w:t>
      </w:r>
      <w:hyperlink r:id="rId12">
        <w:r>
          <w:rPr>
            <w:rStyle w:val="Hyperlink"/>
          </w:rPr>
          <w:t xml:space="preserve">https://europa.eu/europass</w:t>
        </w:r>
      </w:hyperlink>
      <w:r>
        <w:t xml:space="preserve"> u kwalunkwe wieħed mis-subdominji tiegħu.</w:t>
      </w:r>
      <w:r>
        <w:t xml:space="preserve"> </w:t>
      </w:r>
    </w:p>
    <w:p w14:paraId="54D3743B" w14:textId="6748B4D5" w:rsidR="007F14FC" w:rsidRPr="007F14FC" w:rsidRDefault="35E89FFF" w:rsidP="007F14FC">
      <w:pPr>
        <w:pStyle w:val="Text1"/>
        <w:ind w:left="0"/>
      </w:pPr>
      <w:r>
        <w:t xml:space="preserve">Dan is-sit web huwa ġestit mid-DĠ EMPL, Unità E1.</w:t>
      </w:r>
      <w:r>
        <w:t xml:space="preserve"> </w:t>
      </w:r>
      <w:r>
        <w:t xml:space="preserve">Dan tfassal biex jintuża minn kemm jista’ jkun nies, inklużi persuni b’diżabbiltajiet.</w:t>
      </w:r>
    </w:p>
    <w:p w14:paraId="4F1ECE61" w14:textId="77777777" w:rsidR="00E35A7A" w:rsidRPr="007F14FC" w:rsidRDefault="00E35A7A" w:rsidP="00E35A7A">
      <w:r>
        <w:t xml:space="preserve">Għandek tkun tista':</w:t>
      </w:r>
    </w:p>
    <w:p w14:paraId="1F89F2F7" w14:textId="14FAC846" w:rsidR="00225512" w:rsidRPr="00AF1993" w:rsidRDefault="00AC4598" w:rsidP="009D007D">
      <w:pPr>
        <w:pStyle w:val="ListParagraph"/>
        <w:numPr>
          <w:ilvl w:val="0"/>
          <w:numId w:val="38"/>
        </w:numPr>
      </w:pPr>
      <w:r>
        <w:t xml:space="preserve">Tiżżummja sa 200% mingħajr problemi.</w:t>
      </w:r>
    </w:p>
    <w:p w14:paraId="0A3AB54A" w14:textId="77777777" w:rsidR="00225512" w:rsidRPr="00AF1993" w:rsidRDefault="00225512" w:rsidP="00225512">
      <w:pPr>
        <w:pStyle w:val="ListParagraph"/>
        <w:numPr>
          <w:ilvl w:val="0"/>
          <w:numId w:val="38"/>
        </w:numPr>
      </w:pPr>
      <w:r>
        <w:t xml:space="preserve">tinnaviga l-biċċa l-kbira tas-sit b’keyboard biss</w:t>
      </w:r>
    </w:p>
    <w:p w14:paraId="520AE6B3" w14:textId="105D7D13" w:rsidR="000126E5" w:rsidRPr="00AF1993" w:rsidRDefault="00225512" w:rsidP="009D007D">
      <w:pPr>
        <w:pStyle w:val="ListParagraph"/>
        <w:numPr>
          <w:ilvl w:val="0"/>
          <w:numId w:val="33"/>
        </w:numPr>
      </w:pPr>
      <w:r>
        <w:t xml:space="preserve">tinnaviga l-biċċa l-kbira tas-sit web b’apparat modern li jaqra dak li jkun hemm fuq l-iscreen u b’software li jirrikonoxxi d-diskors (fuq il-kompjuter jew il-mobile tiegħek).</w:t>
      </w:r>
      <w:r>
        <w:t xml:space="preserve"> </w:t>
      </w:r>
    </w:p>
    <w:p w14:paraId="1A4510C6" w14:textId="3A06EEAA" w:rsidR="00E35A7A" w:rsidRPr="007F14FC" w:rsidRDefault="00E35A7A" w:rsidP="000126E5">
      <w:r>
        <w:t xml:space="preserve">Dan is-sit web hu ddisinjat biex jikkonforma mal-</w:t>
      </w:r>
      <w:hyperlink r:id="rId13">
        <w:r>
          <w:rPr>
            <w:color w:val="0563C1" w:themeColor="hyperlink"/>
            <w:u w:val="single"/>
          </w:rPr>
          <w:t xml:space="preserve">istandard tekniku għas-siti web u l-apps tal-mobile, EN 301 549 v.3.2.1</w:t>
        </w:r>
      </w:hyperlink>
      <w:r>
        <w:t xml:space="preserve">.</w:t>
      </w:r>
      <w:r>
        <w:t xml:space="preserve"> </w:t>
      </w:r>
      <w:r>
        <w:t xml:space="preserve">Dan isegwi mill-qrib il-livell “AA” tal-</w:t>
      </w:r>
      <w:hyperlink r:id="rId14">
        <w:r>
          <w:rPr>
            <w:color w:val="0563C1" w:themeColor="hyperlink"/>
            <w:u w:val="single"/>
          </w:rPr>
          <w:t xml:space="preserve">verżjoni 2.1 tal-Linji Gwida għall-Aċċessibbiltà tal-Kontenut tal-Web (WCAG)</w:t>
        </w:r>
      </w:hyperlink>
      <w:r>
        <w:t xml:space="preserve">.</w:t>
      </w:r>
    </w:p>
    <w:p w14:paraId="66A12D4E" w14:textId="77777777" w:rsidR="00E35A7A" w:rsidRPr="00E35A7A" w:rsidRDefault="00E35A7A" w:rsidP="00E35A7A">
      <w:pPr>
        <w:keepNext/>
        <w:spacing w:after="0"/>
        <w:jc w:val="left"/>
        <w:outlineLvl w:val="1"/>
        <w:rPr>
          <w:b/>
        </w:rPr>
      </w:pPr>
      <w:r>
        <w:rPr>
          <w:b/>
        </w:rPr>
        <w:t xml:space="preserve">Status tal-konformità</w:t>
      </w:r>
      <w:r>
        <w:rPr>
          <w:b/>
        </w:rPr>
        <w:br/>
      </w:r>
    </w:p>
    <w:p w14:paraId="66C3D011" w14:textId="6AC3AC33" w:rsidR="00225512" w:rsidRPr="00E84E56" w:rsidRDefault="0AC43EA8" w:rsidP="00225512">
      <w:r>
        <w:t xml:space="preserve">Dan is-sit web hu parzjalment </w:t>
      </w:r>
      <w:r>
        <w:rPr>
          <w:b/>
        </w:rPr>
        <w:t xml:space="preserve">konformi</w:t>
      </w:r>
      <w:r>
        <w:t xml:space="preserve"> </w:t>
      </w:r>
      <w:hyperlink r:id="rId15">
        <w:r>
          <w:rPr>
            <w:rStyle w:val="Hyperlink"/>
          </w:rPr>
          <w:t xml:space="preserve">mal-istandard tekniku EN 301 549 v.3.2.1</w:t>
        </w:r>
      </w:hyperlink>
      <w:r>
        <w:t xml:space="preserve"> u l-</w:t>
      </w:r>
      <w:hyperlink r:id="rId16">
        <w:r>
          <w:rPr>
            <w:rStyle w:val="Hyperlink"/>
          </w:rPr>
          <w:t xml:space="preserve">Linji Gwida għall-Aċċessibbiltà tal-Kontenut tal-Web (WCAG) 2.1 Livell AA</w:t>
        </w:r>
      </w:hyperlink>
      <w:r>
        <w:t xml:space="preserve">.</w:t>
      </w:r>
      <w:r>
        <w:t xml:space="preserve"> </w:t>
      </w:r>
      <w:r>
        <w:t xml:space="preserve">Ara “</w:t>
      </w:r>
      <w:hyperlink w:anchor="_Non-accessible_content">
        <w:r>
          <w:rPr>
            <w:rStyle w:val="Hyperlink"/>
          </w:rPr>
          <w:t xml:space="preserve">Kontenut mhux aċċessibbli</w:t>
        </w:r>
      </w:hyperlink>
      <w:r>
        <w:t xml:space="preserve">” għal aktar dettalji.</w:t>
      </w:r>
    </w:p>
    <w:p w14:paraId="4146F897" w14:textId="0C4BE212" w:rsidR="00E35A7A" w:rsidRPr="007F14FC" w:rsidRDefault="00E35A7A" w:rsidP="00E35A7A">
      <w:r>
        <w:t xml:space="preserve">Is-sit web ġie ttestjat l-aħħar f'April 2023.</w:t>
      </w:r>
    </w:p>
    <w:p w14:paraId="5ABBA2F4" w14:textId="77777777" w:rsidR="00E35A7A" w:rsidRPr="00E35A7A" w:rsidRDefault="00E35A7A" w:rsidP="00E35A7A">
      <w:pPr>
        <w:keepNext/>
        <w:spacing w:after="0"/>
        <w:jc w:val="left"/>
        <w:outlineLvl w:val="1"/>
        <w:rPr>
          <w:b/>
        </w:rPr>
      </w:pPr>
      <w:r>
        <w:rPr>
          <w:b/>
        </w:rPr>
        <w:t xml:space="preserve">Tħejjija ta’ din id-dikjarazzjoni</w:t>
      </w:r>
    </w:p>
    <w:p w14:paraId="6B674C45" w14:textId="4612CB79" w:rsidR="00E35A7A" w:rsidRDefault="00E35A7A" w:rsidP="00E35A7A">
      <w:r>
        <w:br/>
      </w:r>
      <w:r>
        <w:t xml:space="preserve">Din id-dikjarazzjoni ġiet riveduta fil-15.12.2023.</w:t>
      </w:r>
    </w:p>
    <w:p w14:paraId="2918FEE8" w14:textId="77777777" w:rsidR="00E35A7A" w:rsidRPr="00E35A7A" w:rsidRDefault="00E35A7A" w:rsidP="00E35A7A">
      <w:pPr>
        <w:keepNext/>
        <w:spacing w:after="0"/>
        <w:jc w:val="left"/>
        <w:outlineLvl w:val="1"/>
        <w:rPr>
          <w:b/>
        </w:rPr>
      </w:pPr>
      <w:r>
        <w:rPr>
          <w:b/>
        </w:rPr>
        <w:t xml:space="preserve">Feedback</w:t>
      </w:r>
    </w:p>
    <w:p w14:paraId="3EF7E625" w14:textId="563019B3" w:rsidR="00E35A7A" w:rsidRPr="007F14FC" w:rsidRDefault="00E35A7A" w:rsidP="00E35A7A">
      <w:r>
        <w:br/>
      </w:r>
      <w:r>
        <w:t xml:space="preserve">Nilqgħu l-feedback tiegħek dwar l-aċċessibbiltà tas-sit web tal-Europass.</w:t>
      </w:r>
      <w:r>
        <w:t xml:space="preserve"> </w:t>
      </w:r>
      <w:r>
        <w:t xml:space="preserve">Jekk jogħġbok għarrafna jekk tiltaqa’ ma’ ostakli għall-aċċessibbiltà:</w:t>
      </w:r>
    </w:p>
    <w:p w14:paraId="4744E771" w14:textId="5A871DF4" w:rsidR="00E35A7A" w:rsidRPr="00EC59D7" w:rsidRDefault="00225512" w:rsidP="009D007D">
      <w:pPr>
        <w:numPr>
          <w:ilvl w:val="0"/>
          <w:numId w:val="23"/>
        </w:numPr>
        <w:ind w:left="720"/>
      </w:pPr>
      <w:r>
        <w:t xml:space="preserve">Telefown:</w:t>
      </w:r>
      <w:r>
        <w:t xml:space="preserve"> </w:t>
      </w:r>
      <w:r>
        <w:rPr>
          <w:b/>
        </w:rPr>
        <w:t xml:space="preserve">00 800 6 7 8 9 10 11</w:t>
      </w:r>
      <w:r>
        <w:t xml:space="preserve"> minn kullimkien fl-UE - matulil-ġimgħa 09:00 - 18:00 CET bi kwalunkwe lingwa tal-UE* (it-telefonati huma bla ħlas).</w:t>
      </w:r>
      <w:r>
        <w:t xml:space="preserve"> </w:t>
      </w:r>
    </w:p>
    <w:p w14:paraId="6EAA89C5" w14:textId="3B41C853" w:rsidR="00EC59D7" w:rsidRPr="00EC59D7" w:rsidRDefault="00E35A7A" w:rsidP="5AC6E6F2">
      <w:pPr>
        <w:numPr>
          <w:ilvl w:val="0"/>
          <w:numId w:val="23"/>
        </w:numPr>
        <w:ind w:left="720"/>
        <w:rPr>
          <w:rStyle w:val="Hyperlink"/>
        </w:rPr>
      </w:pPr>
      <w:r>
        <w:t xml:space="preserve">Formola tal-feedback:</w:t>
      </w:r>
      <w:r>
        <w:t xml:space="preserve"> </w:t>
      </w:r>
      <w:r>
        <w:t xml:space="preserve">Iktbilna permezz tal-</w:t>
      </w:r>
      <w:hyperlink r:id="rId17">
        <w:r>
          <w:rPr>
            <w:rStyle w:val="Hyperlink"/>
          </w:rPr>
          <w:t xml:space="preserve">formola ta’ kuntatt tal-Europass</w:t>
        </w:r>
      </w:hyperlink>
    </w:p>
    <w:p w14:paraId="73D4BBF7" w14:textId="5F54F931" w:rsidR="00E35A7A" w:rsidRDefault="00E35A7A" w:rsidP="00EC59D7">
      <w:r>
        <w:t xml:space="preserve">Nippruvaw inwieġbu l-feedback fi żmien 15-il jum ta’ xogħol mid-data tal-wasla tal-mistoqsija mid-dipartiment responsabbli tal-Kummissjoni.</w:t>
      </w:r>
    </w:p>
    <w:p w14:paraId="433BF82E" w14:textId="77777777" w:rsidR="00EC7351" w:rsidRPr="00EC7351" w:rsidRDefault="00EC7351" w:rsidP="00EC7351">
      <w:pPr>
        <w:keepNext/>
        <w:spacing w:after="0"/>
        <w:jc w:val="left"/>
        <w:outlineLvl w:val="1"/>
        <w:rPr>
          <w:b/>
        </w:rPr>
      </w:pPr>
      <w:r>
        <w:rPr>
          <w:b/>
        </w:rPr>
        <w:t xml:space="preserve">Kompatibbiltà ma’ browsers u teknoloġija assistiva</w:t>
      </w:r>
    </w:p>
    <w:p w14:paraId="6EACC384" w14:textId="0AEFAC39" w:rsidR="00EC7351" w:rsidRPr="007F14FC" w:rsidRDefault="00EC7351" w:rsidP="00EC7351">
      <w:pPr>
        <w:jc w:val="left"/>
      </w:pPr>
      <w:r>
        <w:br/>
      </w:r>
      <w:r>
        <w:t xml:space="preserve">Is-sit tal-Europass tfassal biex ikun kompatibbli mat-teknoloġiji assistivi li ġejjin li l-aktar li jintużaw:</w:t>
      </w:r>
    </w:p>
    <w:p w14:paraId="1F6174D7" w14:textId="6B07A09C" w:rsidR="000338C5" w:rsidRPr="0052454F" w:rsidRDefault="5DCDB69A" w:rsidP="35D7FFF2">
      <w:pPr>
        <w:numPr>
          <w:ilvl w:val="0"/>
          <w:numId w:val="34"/>
        </w:numPr>
        <w:spacing w:after="100" w:afterAutospacing="1"/>
        <w:jc w:val="left"/>
      </w:pPr>
      <w:r>
        <w:t xml:space="preserve">l-aħħar verżjoni tal-browsers Microsoft Edge, Google Chrome, Mozilla Firefox u Apple Safari;</w:t>
      </w:r>
    </w:p>
    <w:p w14:paraId="3239328D" w14:textId="709706EC" w:rsidR="00785A54" w:rsidRDefault="5DCDB69A" w:rsidP="35D7FFF2">
      <w:pPr>
        <w:numPr>
          <w:ilvl w:val="0"/>
          <w:numId w:val="34"/>
        </w:numPr>
        <w:spacing w:before="100" w:beforeAutospacing="1" w:after="100" w:afterAutospacing="1"/>
        <w:jc w:val="left"/>
      </w:pPr>
      <w:r>
        <w:t xml:space="preserve"> </w:t>
      </w:r>
      <w:r>
        <w:t xml:space="preserve">flimkien mal-aħħar verżjonijiet ta’ teknoloġiji ta’ assistenza.</w:t>
      </w:r>
      <w:r>
        <w:t xml:space="preserve">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 xml:space="preserve">Speċifikazzjonijiet tekniċi</w:t>
      </w:r>
    </w:p>
    <w:p w14:paraId="56C786BB" w14:textId="77777777" w:rsidR="005A7954" w:rsidRDefault="005A7954" w:rsidP="00EC7351"/>
    <w:p w14:paraId="424F62F5" w14:textId="42F9DF13" w:rsidR="00EC7351" w:rsidRPr="007F14FC" w:rsidRDefault="00EC7351" w:rsidP="00EC7351">
      <w:r>
        <w:t xml:space="preserve">L-aċċessibbiltà tas-sit web tal-Europass tiddependi fuq it-teknoloġiji li ġejjin biex taħdem b’taħlita partikolari ta’ browser tal-internet u kwalunkwe teknoloġija assistiva jew plugin installati fuq il-kompjuter tiegħek:</w:t>
      </w:r>
    </w:p>
    <w:p w14:paraId="7A942931" w14:textId="77777777" w:rsidR="00EC7351" w:rsidRPr="007F14FC" w:rsidRDefault="00EC7351" w:rsidP="00EC7351">
      <w:pPr>
        <w:numPr>
          <w:ilvl w:val="0"/>
          <w:numId w:val="26"/>
        </w:numPr>
        <w:spacing w:after="0"/>
        <w:ind w:left="1077" w:hanging="357"/>
      </w:pPr>
      <w:r>
        <w:t xml:space="preserve">HTML</w:t>
      </w:r>
    </w:p>
    <w:p w14:paraId="20FD34FD" w14:textId="77777777" w:rsidR="00EC7351" w:rsidRPr="007F14FC" w:rsidRDefault="00EC7351" w:rsidP="00EC7351">
      <w:pPr>
        <w:numPr>
          <w:ilvl w:val="0"/>
          <w:numId w:val="26"/>
        </w:numPr>
        <w:spacing w:after="0"/>
        <w:ind w:left="1077" w:hanging="357"/>
      </w:pPr>
      <w:r>
        <w:t xml:space="preserve">WAI-ARIA</w:t>
      </w:r>
    </w:p>
    <w:p w14:paraId="2CE68EE0" w14:textId="77777777" w:rsidR="00EC7351" w:rsidRPr="007F14FC" w:rsidRDefault="00EC7351" w:rsidP="00EC7351">
      <w:pPr>
        <w:numPr>
          <w:ilvl w:val="0"/>
          <w:numId w:val="26"/>
        </w:numPr>
        <w:spacing w:after="0"/>
        <w:ind w:left="1077" w:hanging="357"/>
      </w:pPr>
      <w:r>
        <w:t xml:space="preserve">CSS</w:t>
      </w:r>
    </w:p>
    <w:p w14:paraId="2403ED5C" w14:textId="77777777" w:rsidR="00EC7351" w:rsidRPr="007F14FC" w:rsidRDefault="00EC7351" w:rsidP="00EC7351">
      <w:pPr>
        <w:numPr>
          <w:ilvl w:val="0"/>
          <w:numId w:val="26"/>
        </w:numPr>
        <w:spacing w:after="0"/>
        <w:ind w:left="1077" w:hanging="357"/>
      </w:pPr>
      <w:r>
        <w:t xml:space="preserve">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 xml:space="preserve">Kontenut mhux aċċessibbli</w:t>
      </w:r>
    </w:p>
    <w:p w14:paraId="65E180EF" w14:textId="5B05AFB9" w:rsidR="00EC7351" w:rsidRDefault="755E7800" w:rsidP="5AC6E6F2">
      <w:pPr>
        <w:spacing w:before="180" w:line="276" w:lineRule="auto"/>
      </w:pPr>
      <w:r>
        <w:t xml:space="preserve">Filwaqt li aħna impenjati li niżguraw l-aċċessibbiltà tas-sit web tal-Europass, hemm limitazzjonijiet magħrufa li qed nindirizzaw b’mod attiv.</w:t>
      </w:r>
      <w:r>
        <w:t xml:space="preserve"> </w:t>
      </w:r>
      <w:r>
        <w:t xml:space="preserve">Napprezzaw il-fehim u l-paċenzja tiegħek hekk kif naħdmu biex insolvu dawn il-kwistjonijiet.</w:t>
      </w:r>
      <w:r>
        <w:t xml:space="preserve"> </w:t>
      </w:r>
      <w:r>
        <w:t xml:space="preserve">Jekk tiltaqa’ ma’ sfida ta’ aċċessibbiltà mhux elenkata hawn taħt, jekk jogħġbok ikkuntattjana.</w:t>
      </w:r>
    </w:p>
    <w:p w14:paraId="7912D527" w14:textId="3097ED04" w:rsidR="697DA1A5" w:rsidRDefault="160C0568" w:rsidP="200C443E">
      <w:pPr>
        <w:widowControl w:val="0"/>
        <w:spacing w:before="180" w:after="0" w:line="276" w:lineRule="auto"/>
      </w:pPr>
      <w:r>
        <w:rPr>
          <w:b/>
        </w:rPr>
        <w:t xml:space="preserve"> </w:t>
      </w:r>
      <w:r>
        <w:rPr>
          <w:b/>
          <w:bCs/>
        </w:rPr>
        <w:t xml:space="preserve">Limitazzjonijiet Magħrufa</w:t>
      </w:r>
      <w:r>
        <w:t xml:space="preserve"> (Skedati għal Riżoluzzjoni sa tmiem l-2024:</w:t>
      </w:r>
      <w:r>
        <w:t xml:space="preserve"> </w:t>
      </w:r>
    </w:p>
    <w:p w14:paraId="7767E01C" w14:textId="485029F8" w:rsidR="697DA1A5" w:rsidRDefault="31F81F0C" w:rsidP="200C443E">
      <w:pPr>
        <w:pStyle w:val="ListParagraph"/>
        <w:widowControl w:val="0"/>
        <w:numPr>
          <w:ilvl w:val="0"/>
          <w:numId w:val="1"/>
        </w:numPr>
        <w:spacing w:before="180" w:after="0" w:line="276" w:lineRule="auto"/>
      </w:pPr>
      <w:r>
        <w:t xml:space="preserve">Xi paġni għandhom mnejn ikollhom kuntrast baxx tal-kulur.</w:t>
      </w:r>
    </w:p>
    <w:p w14:paraId="02014850" w14:textId="3C6B2681" w:rsidR="00F1088A" w:rsidRPr="00AF1993" w:rsidRDefault="114595CF" w:rsidP="200C443E">
      <w:pPr>
        <w:pStyle w:val="ListParagraph"/>
        <w:widowControl w:val="0"/>
        <w:numPr>
          <w:ilvl w:val="0"/>
          <w:numId w:val="1"/>
        </w:numPr>
        <w:spacing w:after="0"/>
        <w:jc w:val="left"/>
      </w:pPr>
      <w:r>
        <w:t xml:space="preserve">Xi funzjonalitajiet mhumiex aċċessibbli jew għandhom aċċessibbiltà limitata (fokus baxx) għall-utenti li jużaw keyboard biss.</w:t>
      </w:r>
    </w:p>
    <w:p w14:paraId="53F04822" w14:textId="5AF5DBE1" w:rsidR="00D924E7" w:rsidRDefault="114595CF" w:rsidP="200C443E">
      <w:pPr>
        <w:pStyle w:val="ListParagraph"/>
        <w:widowControl w:val="0"/>
        <w:numPr>
          <w:ilvl w:val="0"/>
          <w:numId w:val="1"/>
        </w:numPr>
        <w:spacing w:after="0"/>
        <w:jc w:val="left"/>
      </w:pPr>
      <w:r>
        <w:t xml:space="preserve">Il-biċċa l-kbira tal-elementi viżwali m’għandhomx deskrizzjonijiet tat-test alt bil-lingwa korrispondenti.</w:t>
      </w:r>
    </w:p>
    <w:p w14:paraId="35CC691A" w14:textId="24189EB3" w:rsidR="00EC59D7" w:rsidRPr="00AF1993" w:rsidRDefault="350041B7" w:rsidP="200C443E">
      <w:pPr>
        <w:pStyle w:val="ListParagraph"/>
        <w:widowControl w:val="0"/>
        <w:numPr>
          <w:ilvl w:val="0"/>
          <w:numId w:val="1"/>
        </w:numPr>
        <w:spacing w:after="0"/>
        <w:jc w:val="left"/>
      </w:pPr>
      <w:r>
        <w:t xml:space="preserve">Xi oqsma m’għandhomx tikketti għall-qarrejja tal-iscreen jew teknoloġiji ta’ assistenza simili.</w:t>
      </w:r>
    </w:p>
    <w:p w14:paraId="2160CF67" w14:textId="1842C882" w:rsidR="00D924E7" w:rsidRPr="00AF1993" w:rsidRDefault="114595CF" w:rsidP="200C443E">
      <w:pPr>
        <w:pStyle w:val="ListParagraph"/>
        <w:widowControl w:val="0"/>
        <w:numPr>
          <w:ilvl w:val="0"/>
          <w:numId w:val="1"/>
        </w:numPr>
        <w:spacing w:after="0"/>
        <w:jc w:val="left"/>
      </w:pPr>
      <w:r>
        <w:t xml:space="preserve">Xi messaġġi ta’ żball mhumiex assoċjati b’mod ċar mal-kontrolli tal-formola.</w:t>
      </w:r>
    </w:p>
    <w:p w14:paraId="1A015EAA" w14:textId="34A2DFAA" w:rsidR="00D924E7" w:rsidRDefault="114595CF" w:rsidP="200C443E">
      <w:pPr>
        <w:pStyle w:val="ListParagraph"/>
        <w:widowControl w:val="0"/>
        <w:numPr>
          <w:ilvl w:val="0"/>
          <w:numId w:val="1"/>
        </w:numPr>
        <w:spacing w:after="0"/>
        <w:jc w:val="left"/>
      </w:pPr>
      <w:r>
        <w:t xml:space="preserve">Xi dokumenti huma f’format PDF u mhumiex aċċessibbli.</w:t>
      </w:r>
    </w:p>
    <w:p w14:paraId="080F47A3" w14:textId="035BC469" w:rsidR="00AC4598" w:rsidRDefault="114595CF" w:rsidP="200C443E">
      <w:pPr>
        <w:pStyle w:val="ListParagraph"/>
        <w:widowControl w:val="0"/>
        <w:numPr>
          <w:ilvl w:val="0"/>
          <w:numId w:val="1"/>
        </w:numPr>
        <w:spacing w:after="0"/>
        <w:jc w:val="left"/>
      </w:pPr>
      <w:r>
        <w:t xml:space="preserve">Xi paġni mhumiex adattati għalkollox għall-qarrejja tal-iscreen jew teknoloġiji ta’ assistenza simili.</w:t>
      </w:r>
    </w:p>
    <w:p w14:paraId="18FF54C3" w14:textId="2C0A54B5" w:rsidR="00AC4598" w:rsidRDefault="114595CF" w:rsidP="200C443E">
      <w:pPr>
        <w:pStyle w:val="ListParagraph"/>
        <w:widowControl w:val="0"/>
        <w:numPr>
          <w:ilvl w:val="0"/>
          <w:numId w:val="1"/>
        </w:numPr>
        <w:spacing w:after="0"/>
        <w:jc w:val="left"/>
      </w:pPr>
      <w:r>
        <w:t xml:space="preserve">Xi intestaturi mhumiex strutturati b’mod korrett għal teknoloġiji ta’ assistenza.</w:t>
      </w:r>
    </w:p>
    <w:p w14:paraId="2AE23792" w14:textId="6B0D5125" w:rsidR="00896DC0" w:rsidRDefault="407DE4EE" w:rsidP="200C443E">
      <w:pPr>
        <w:pStyle w:val="ListParagraph"/>
        <w:widowControl w:val="0"/>
        <w:numPr>
          <w:ilvl w:val="0"/>
          <w:numId w:val="1"/>
        </w:numPr>
        <w:spacing w:after="0"/>
        <w:jc w:val="left"/>
      </w:pPr>
      <w:r>
        <w:t xml:space="preserve">Xi paġni għandhom elementi ta’ kontenut bħal tabelli u menus tal-ġenb li jistgħu ma jkunux aċċessibbli.</w:t>
      </w:r>
    </w:p>
    <w:p w14:paraId="6CF69CF9" w14:textId="1E9D0B6C" w:rsidR="00896DC0" w:rsidRDefault="407DE4EE">
      <w:pPr>
        <w:pStyle w:val="ListParagraph"/>
        <w:widowControl w:val="0"/>
        <w:numPr>
          <w:ilvl w:val="0"/>
          <w:numId w:val="1"/>
        </w:numPr>
        <w:spacing w:after="0"/>
        <w:jc w:val="left"/>
      </w:pPr>
      <w:r>
        <w:t xml:space="preserve">Xi URLs m’għandhomx ismijiet tal-mogħdijiet li jinftiehmu jew korretti.</w:t>
      </w:r>
    </w:p>
    <w:p w14:paraId="427C5223" w14:textId="1EB5E7DE" w:rsidR="00BE0E7F" w:rsidRDefault="0803AE8C" w:rsidP="200C443E">
      <w:pPr>
        <w:pStyle w:val="ListParagraph"/>
        <w:widowControl w:val="0"/>
        <w:numPr>
          <w:ilvl w:val="0"/>
          <w:numId w:val="1"/>
        </w:numPr>
        <w:spacing w:after="0"/>
        <w:jc w:val="left"/>
      </w:pPr>
      <w:r>
        <w:t xml:space="preserve">Xi elementi mhumiex kompletament adattati għall-aċċessibbiltà mobbli.</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Paġna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minn </w:t>
            </w:r>
            <w:r>
              <w:rPr>
                <w:b/>
                <w:color w:val="2B579A"/>
                <w:sz w:val="24"/>
                <w:shd w:val="clear" w:color="auto" w:fill="E6E6E6"/>
              </w:rPr>
              <w:fldChar w:fldCharType="begin" w:dirty="true"/>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r>
              <w:t xml:space="preserve"> </w:t>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954723">
        <w:pPr>
          <w:pStyle w:val="Footer"/>
        </w:pPr>
        <w:sdt>
          <w:sdtPr>
            <w:id w:val="-1245179179"/>
            <w:dataBinding w:xpath="/Author/Addresses/Address[Id = 'f03b5801-04c9-4931-aa17-c6d6c70bc579']/Footer" w:storeItemID="{EBD4A2BB-D3C2-4E81-B1F9-6FB82AC3CEB9}"/>
            <w:text w:multiLine="1"/>
          </w:sdtPr>
          <w:sdtEndPr/>
          <w:sdtContent>
            <w:r>
              <w:t xml:space="preserve">Commission européenne/Europese Commissie, 1049 Bruxelles/Brussel, BELGIQUE/BELGIË - Tel. +32 22991111</w:t>
            </w:r>
          </w:sdtContent>
        </w:sdt>
      </w:p>
      <w:p w14:paraId="4B889E1A" w14:textId="5AE6768E" w:rsidR="00EC7351" w:rsidRDefault="00954723">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t xml:space="preserve">     </w:t>
            </w:r>
          </w:sdtContent>
        </w:sdt>
      </w:p>
      <w:p w14:paraId="532621B0" w14:textId="77777777" w:rsidR="00EC7351" w:rsidRDefault="00954723">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BE" w:vendorID="64" w:dllVersion="0" w:nlCheck="1" w:checkStyle="0"/>
  <w:proofState w:spelling="dirty"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mt-MT"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en/about-europass/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IL-KUMMISSJONI EWROPEA</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ID-DIRETTORAT ĠENERALI tal-Impjiegi, l-Affarijiet Soċjali u l-Inklużjoni</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Id-Direttorat E Mobilità tal-Forza tax-Xogħol u Affarijiet Internazzjonali</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L-Unità E1 Il-Mobilità tal-Forza tax-Xogħol, is-Servizzi Pubbliċi tal-Impjiegi, ELA</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BD4A2BB-D3C2-4E81-B1F9-6FB82AC3CEB9}">
  <ds:schemaRefs/>
</ds:datastoreItem>
</file>

<file path=customXml/itemProps3.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599</Words>
  <Characters>3420</Characters>
  <Application>Microsoft Office Word</Application>
  <DocSecurity>0</DocSecurity>
  <PresentationFormat>Microsoft Word 14.0</PresentationFormat>
  <Lines>28</Lines>
  <Paragraphs>8</Paragraphs>
  <ScaleCrop>true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SUNDARA SEGARAN Maxine (EMPL-EXT)</cp:lastModifiedBy>
  <cp:revision>2</cp:revision>
  <cp:lastPrinted>2021-10-25T20:16:00Z</cp:lastPrinted>
  <dcterms:created xsi:type="dcterms:W3CDTF">2024-01-09T14:21:00Z</dcterms:created>
  <dcterms:modified xsi:type="dcterms:W3CDTF">2024-01-09T14:21:00Z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