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Šios lentelėje kairėje skiltyje pateikiamas Europos Komisijos logotipas, o dešinėje skiltyje – informacija apie pasirašiusiojo asmens arba autoriaus organizacinį vienetą."/>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color w:val="2B579A"/>
                    <w:shd w:val="clear" w:color="auto" w:fill="E6E6E6"/>
                  </w:rPr>
                  <w:drawing>
                    <wp:inline distT="0" distB="0" distL="0" distR="0" wp14:anchorId="528B0FAA" wp14:editId="3BE4CA6B">
                      <wp:extent cx="1371600" cy="676800"/>
                      <wp:effectExtent l="0" t="0" r="0" b="0"/>
                      <wp:docPr id="1" name="Picture 1" descr="Europos Komisijos logotipas – 12 geltonų ratu mėlyname fone išsidėsčiusių žvaigždučių su šviesiai pilkais grafiniais elementais iš dviejų pusių, vaizduojančiais pastatą „Berlaymont“ (Europos Komisijos būstin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54723">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t xml:space="preserve">EUROPOS KOMISIJA</w:t>
                    </w:r>
                  </w:sdtContent>
                </w:sdt>
              </w:p>
              <w:p w14:paraId="2074A464" w14:textId="39B41681" w:rsidR="00FE373C" w:rsidRPr="007F14FC" w:rsidRDefault="00954723">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Pr>
                        <w:caps/>
                      </w:rPr>
                      <w:t xml:space="preserve">UŽIMTUMO, SOCIALINIŲ REIKALŲ IR ĮTRAUKTIES GENERALINIS DIREKTORATAS</w:t>
                    </w:r>
                  </w:sdtContent>
                </w:sdt>
              </w:p>
              <w:p w14:paraId="35D34AB3" w14:textId="77777777" w:rsidR="00FE373C" w:rsidRPr="007F14FC" w:rsidRDefault="00FE373C">
                <w:pPr>
                  <w:pStyle w:val="ZDGName"/>
                </w:pPr>
              </w:p>
              <w:p w14:paraId="05E57B9D" w14:textId="4CD0133A" w:rsidR="00FE373C" w:rsidRPr="007F14FC" w:rsidRDefault="00954723">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t xml:space="preserve">E direktoratas. Darbo jėgos judumas ir tarptautiniai reikalai</w:t>
                    </w:r>
                  </w:sdtContent>
                </w:sdt>
              </w:p>
              <w:p w14:paraId="4FC3ED8E" w14:textId="657E7308" w:rsidR="00FE373C" w:rsidRPr="007F14FC" w:rsidRDefault="00954723"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Pr>
                        <w:b/>
                      </w:rPr>
                      <w:t xml:space="preserve">E1 skyrius. Darbo jėgos judumas, valstybinės užimtumo tarnybos, EDI</w:t>
                    </w:r>
                  </w:sdtContent>
                </w:sdt>
              </w:p>
            </w:tc>
          </w:tr>
        </w:sdtContent>
      </w:sdt>
    </w:tbl>
    <w:p w14:paraId="40810E1C" w14:textId="615BFA28" w:rsidR="007F14FC" w:rsidRPr="00B95F32" w:rsidRDefault="007F14FC" w:rsidP="001F4C2B">
      <w:pPr>
        <w:pStyle w:val="Heading2"/>
      </w:pPr>
      <w:r>
        <w:t xml:space="preserve">Pareiškimas dėl „Europass“ prieinamumo</w:t>
      </w:r>
    </w:p>
    <w:p w14:paraId="4078DA32" w14:textId="740123A6" w:rsidR="007F14FC" w:rsidRPr="007F14FC" w:rsidRDefault="35E89FFF" w:rsidP="007F14FC">
      <w:pPr>
        <w:pStyle w:val="Text1"/>
        <w:ind w:left="0"/>
      </w:pPr>
      <w:r>
        <w:t xml:space="preserve">Šis pareiškimas taikomas turiniui, skelbiamam srityje</w:t>
      </w:r>
      <w:r>
        <w:t xml:space="preserve"> </w:t>
      </w:r>
      <w:hyperlink r:id="rId12">
        <w:r>
          <w:rPr>
            <w:rStyle w:val="Hyperlink"/>
          </w:rPr>
          <w:t xml:space="preserve">https://europa.eu/europass</w:t>
        </w:r>
      </w:hyperlink>
      <w:r>
        <w:t xml:space="preserve"> ir bet kuriame jos posrityje.</w:t>
      </w:r>
      <w:r>
        <w:t xml:space="preserve"> </w:t>
      </w:r>
    </w:p>
    <w:p w14:paraId="54D3743B" w14:textId="6748B4D5" w:rsidR="007F14FC" w:rsidRPr="007F14FC" w:rsidRDefault="35E89FFF" w:rsidP="007F14FC">
      <w:pPr>
        <w:pStyle w:val="Text1"/>
        <w:ind w:left="0"/>
      </w:pPr>
      <w:r>
        <w:t xml:space="preserve">Šią svetainę tvarko Užimtumo, socialinių reikalų ir įtraukties GD E1 skyrius.</w:t>
      </w:r>
      <w:r>
        <w:t xml:space="preserve"> </w:t>
      </w:r>
      <w:r>
        <w:t xml:space="preserve">Ji sukurta taip, kad ja galėtų naudotis kuo daugiau žmonių, įskaitant neįgaliuosius.</w:t>
      </w:r>
    </w:p>
    <w:p w14:paraId="4F1ECE61" w14:textId="77777777" w:rsidR="00E35A7A" w:rsidRPr="007F14FC" w:rsidRDefault="00E35A7A" w:rsidP="00E35A7A">
      <w:r>
        <w:t xml:space="preserve">Naudotojai turėtų turėti galimybę:</w:t>
      </w:r>
    </w:p>
    <w:p w14:paraId="1F89F2F7" w14:textId="14FAC846" w:rsidR="00225512" w:rsidRPr="00AF1993" w:rsidRDefault="00AC4598" w:rsidP="009D007D">
      <w:pPr>
        <w:pStyle w:val="ListParagraph"/>
        <w:numPr>
          <w:ilvl w:val="0"/>
          <w:numId w:val="38"/>
        </w:numPr>
      </w:pPr>
      <w:r>
        <w:t xml:space="preserve">be problemų pasididinti vaizdą iki 200 proc.;</w:t>
      </w:r>
    </w:p>
    <w:p w14:paraId="0A3AB54A" w14:textId="77777777" w:rsidR="00225512" w:rsidRPr="00AF1993" w:rsidRDefault="00225512" w:rsidP="00225512">
      <w:pPr>
        <w:pStyle w:val="ListParagraph"/>
        <w:numPr>
          <w:ilvl w:val="0"/>
          <w:numId w:val="38"/>
        </w:numPr>
      </w:pPr>
      <w:r>
        <w:t xml:space="preserve">didžiojoje svetainės dalyje naršyti naudodamiesi vien tik klaviatūra;</w:t>
      </w:r>
    </w:p>
    <w:p w14:paraId="520AE6B3" w14:textId="105D7D13" w:rsidR="000126E5" w:rsidRPr="00AF1993" w:rsidRDefault="00225512" w:rsidP="009D007D">
      <w:pPr>
        <w:pStyle w:val="ListParagraph"/>
        <w:numPr>
          <w:ilvl w:val="0"/>
          <w:numId w:val="33"/>
        </w:numPr>
      </w:pPr>
      <w:r>
        <w:t xml:space="preserve">naršyti didžiojoje svetainės dalyje naudodamiesi šiuolaikiniu ekrano skaitytuvu ir sakytinės kalbos atpažinimo programine įranga (savo kompiuteryje arba telefone).</w:t>
      </w:r>
      <w:r>
        <w:t xml:space="preserve"> </w:t>
      </w:r>
    </w:p>
    <w:p w14:paraId="1A4510C6" w14:textId="3A06EEAA" w:rsidR="00E35A7A" w:rsidRPr="007F14FC" w:rsidRDefault="00E35A7A" w:rsidP="000126E5">
      <w:r>
        <w:t xml:space="preserve">Ši svetainė sukurta laikantis </w:t>
      </w:r>
      <w:hyperlink r:id="rId13">
        <w:r>
          <w:rPr>
            <w:color w:val="0563C1" w:themeColor="hyperlink"/>
            <w:u w:val="single"/>
          </w:rPr>
          <w:t xml:space="preserve">techninio svetainių ir mobiliųjų programėlių standarto EN 301 549, v.3.2.1</w:t>
        </w:r>
      </w:hyperlink>
      <w:r>
        <w:t xml:space="preserve">.</w:t>
      </w:r>
      <w:r>
        <w:t xml:space="preserve"> </w:t>
      </w:r>
      <w:r>
        <w:t xml:space="preserve">Ją kuriant laikytasi </w:t>
      </w:r>
      <w:hyperlink r:id="rId14">
        <w:r>
          <w:rPr>
            <w:color w:val="0563C1" w:themeColor="hyperlink"/>
            <w:u w:val="single"/>
          </w:rPr>
          <w:t xml:space="preserve">Žiniatinklio turinio prieinamumo gairių (WCAG) 2.1 redakcijos</w:t>
        </w:r>
      </w:hyperlink>
      <w:r>
        <w:t xml:space="preserve">.</w:t>
      </w:r>
    </w:p>
    <w:p w14:paraId="66A12D4E" w14:textId="77777777" w:rsidR="00E35A7A" w:rsidRPr="00E35A7A" w:rsidRDefault="00E35A7A" w:rsidP="00E35A7A">
      <w:pPr>
        <w:keepNext/>
        <w:spacing w:after="0"/>
        <w:jc w:val="left"/>
        <w:outlineLvl w:val="1"/>
        <w:rPr>
          <w:b/>
        </w:rPr>
      </w:pPr>
      <w:r>
        <w:rPr>
          <w:b/>
        </w:rPr>
        <w:t xml:space="preserve">Atitikties būklė</w:t>
      </w:r>
      <w:r>
        <w:rPr>
          <w:b/>
        </w:rPr>
        <w:br/>
      </w:r>
    </w:p>
    <w:p w14:paraId="66C3D011" w14:textId="6AC3AC33" w:rsidR="00225512" w:rsidRPr="00E84E56" w:rsidRDefault="0AC43EA8" w:rsidP="00225512">
      <w:r>
        <w:t xml:space="preserve">Ši svetainė iš dalies atitinka </w:t>
      </w:r>
      <w:hyperlink r:id="rId15">
        <w:r>
          <w:rPr>
            <w:rStyle w:val="Hyperlink"/>
          </w:rPr>
          <w:t xml:space="preserve">techninį standartą EN 301 549 v.3.2.1</w:t>
        </w:r>
      </w:hyperlink>
      <w:r>
        <w:t xml:space="preserve"> ir </w:t>
      </w:r>
      <w:hyperlink r:id="rId16">
        <w:r>
          <w:rPr>
            <w:rStyle w:val="Hyperlink"/>
          </w:rPr>
          <w:t xml:space="preserve">Žiniatinklio turinio prieinamumo gairių (WCAG) 2.1 AA lygį</w:t>
        </w:r>
      </w:hyperlink>
      <w:r>
        <w:t xml:space="preserve">.</w:t>
      </w:r>
      <w:r>
        <w:t xml:space="preserve"> </w:t>
      </w:r>
      <w:r>
        <w:t xml:space="preserve">Daugiau žr. skyriuje „</w:t>
      </w:r>
      <w:hyperlink w:anchor="_Non-accessible_content">
        <w:r>
          <w:rPr>
            <w:rStyle w:val="Hyperlink"/>
          </w:rPr>
          <w:t xml:space="preserve">Neprieinamas turinys</w:t>
        </w:r>
      </w:hyperlink>
      <w:r>
        <w:t xml:space="preserve">“.</w:t>
      </w:r>
    </w:p>
    <w:p w14:paraId="4146F897" w14:textId="0C4BE212" w:rsidR="00E35A7A" w:rsidRPr="007F14FC" w:rsidRDefault="00E35A7A" w:rsidP="00E35A7A">
      <w:r>
        <w:t xml:space="preserve">Naujausias svetainės patikrinimas atliktas 2023 m. balandžio mėn.</w:t>
      </w:r>
    </w:p>
    <w:p w14:paraId="5ABBA2F4" w14:textId="77777777" w:rsidR="00E35A7A" w:rsidRPr="00E35A7A" w:rsidRDefault="00E35A7A" w:rsidP="00E35A7A">
      <w:pPr>
        <w:keepNext/>
        <w:spacing w:after="0"/>
        <w:jc w:val="left"/>
        <w:outlineLvl w:val="1"/>
        <w:rPr>
          <w:b/>
        </w:rPr>
      </w:pPr>
      <w:r>
        <w:rPr>
          <w:b/>
        </w:rPr>
        <w:t xml:space="preserve">Šio pareiškimo rengimas</w:t>
      </w:r>
    </w:p>
    <w:p w14:paraId="6B674C45" w14:textId="4612CB79" w:rsidR="00E35A7A" w:rsidRDefault="00E35A7A" w:rsidP="00E35A7A">
      <w:r>
        <w:br/>
      </w:r>
      <w:r>
        <w:t xml:space="preserve">Šis pareiškimas patikrintas ir pataisytas 2023-12-15.</w:t>
      </w:r>
    </w:p>
    <w:p w14:paraId="2918FEE8" w14:textId="77777777" w:rsidR="00E35A7A" w:rsidRPr="00E35A7A" w:rsidRDefault="00E35A7A" w:rsidP="00E35A7A">
      <w:pPr>
        <w:keepNext/>
        <w:spacing w:after="0"/>
        <w:jc w:val="left"/>
        <w:outlineLvl w:val="1"/>
        <w:rPr>
          <w:b/>
        </w:rPr>
      </w:pPr>
      <w:r>
        <w:rPr>
          <w:b/>
        </w:rPr>
        <w:t xml:space="preserve">Atsiliepimai</w:t>
      </w:r>
    </w:p>
    <w:p w14:paraId="3EF7E625" w14:textId="563019B3" w:rsidR="00E35A7A" w:rsidRPr="007F14FC" w:rsidRDefault="00E35A7A" w:rsidP="00E35A7A">
      <w:r>
        <w:br/>
      </w:r>
      <w:r>
        <w:t xml:space="preserve">Laukiame jūsų atsiliepimų apie „Europass“ svetainės prieinamumą.</w:t>
      </w:r>
      <w:r>
        <w:t xml:space="preserve"> </w:t>
      </w:r>
      <w:r>
        <w:t xml:space="preserve">Jei susidurtumėte su prieinamumo kliūtimis, praneškite mums:</w:t>
      </w:r>
    </w:p>
    <w:p w14:paraId="4744E771" w14:textId="5A871DF4" w:rsidR="00E35A7A" w:rsidRPr="00EC59D7" w:rsidRDefault="00225512" w:rsidP="009D007D">
      <w:pPr>
        <w:numPr>
          <w:ilvl w:val="0"/>
          <w:numId w:val="23"/>
        </w:numPr>
        <w:ind w:left="720"/>
      </w:pPr>
      <w:r>
        <w:t xml:space="preserve">telefonu –</w:t>
      </w:r>
      <w:r>
        <w:t xml:space="preserve"> </w:t>
      </w:r>
      <w:r>
        <w:rPr>
          <w:b/>
        </w:rPr>
        <w:t xml:space="preserve">00 800 6 7 8 9 10 11</w:t>
      </w:r>
      <w:r>
        <w:t xml:space="preserve"> iš visos ES teritorijos darbo dienomis 09.00–18.00 Vidurio Europos laiku bet kuria ES kalba* (skambučiai nemokami),</w:t>
      </w:r>
      <w:r>
        <w:t xml:space="preserve"> </w:t>
      </w:r>
    </w:p>
    <w:p w14:paraId="6EAA89C5" w14:textId="3B41C853" w:rsidR="00EC59D7" w:rsidRPr="00EC59D7" w:rsidRDefault="00E35A7A" w:rsidP="5AC6E6F2">
      <w:pPr>
        <w:numPr>
          <w:ilvl w:val="0"/>
          <w:numId w:val="23"/>
        </w:numPr>
        <w:ind w:left="720"/>
        <w:rPr>
          <w:rStyle w:val="Hyperlink"/>
        </w:rPr>
      </w:pPr>
      <w:r>
        <w:t xml:space="preserve">atsiliepimų forma –</w:t>
      </w:r>
      <w:r>
        <w:t xml:space="preserve"> </w:t>
      </w:r>
      <w:r>
        <w:t xml:space="preserve">rašykite mums naudodamiesi </w:t>
      </w:r>
      <w:hyperlink r:id="rId17">
        <w:r>
          <w:rPr>
            <w:rStyle w:val="Hyperlink"/>
          </w:rPr>
          <w:t xml:space="preserve">„Europass“ kontaktine forma</w:t>
        </w:r>
      </w:hyperlink>
      <w:r>
        <w:t xml:space="preserve">.</w:t>
      </w:r>
    </w:p>
    <w:p w14:paraId="73D4BBF7" w14:textId="5F54F931" w:rsidR="00E35A7A" w:rsidRDefault="00E35A7A" w:rsidP="00EC59D7">
      <w:r>
        <w:t xml:space="preserve">Į atsiliepimus stengiamės atsakyti per 15 darbo dienų nuo tos dienos, kai atsakingas Komisijos padalinys gavo užklausą.</w:t>
      </w:r>
    </w:p>
    <w:p w14:paraId="433BF82E" w14:textId="77777777" w:rsidR="00EC7351" w:rsidRPr="00EC7351" w:rsidRDefault="00EC7351" w:rsidP="00EC7351">
      <w:pPr>
        <w:keepNext/>
        <w:spacing w:after="0"/>
        <w:jc w:val="left"/>
        <w:outlineLvl w:val="1"/>
        <w:rPr>
          <w:b/>
        </w:rPr>
      </w:pPr>
      <w:r>
        <w:rPr>
          <w:b/>
        </w:rPr>
        <w:t xml:space="preserve">Suderinamumas su naršyklėmis ir pagalbinėmis technologijomis</w:t>
      </w:r>
    </w:p>
    <w:p w14:paraId="6EACC384" w14:textId="0AEFAC39" w:rsidR="00EC7351" w:rsidRPr="007F14FC" w:rsidRDefault="00EC7351" w:rsidP="00EC7351">
      <w:pPr>
        <w:jc w:val="left"/>
      </w:pPr>
      <w:r>
        <w:br/>
      </w:r>
      <w:r>
        <w:t xml:space="preserve">„Europass“ svetainė sukurta taip, kad būtų suderinama su dažniausiai naudojamomis pagalbinėmis technologijomis:</w:t>
      </w:r>
    </w:p>
    <w:p w14:paraId="1F6174D7" w14:textId="6B07A09C" w:rsidR="000338C5" w:rsidRPr="0052454F" w:rsidRDefault="5DCDB69A" w:rsidP="35D7FFF2">
      <w:pPr>
        <w:numPr>
          <w:ilvl w:val="0"/>
          <w:numId w:val="34"/>
        </w:numPr>
        <w:spacing w:after="100" w:afterAutospacing="1"/>
        <w:jc w:val="left"/>
      </w:pPr>
      <w:r>
        <w:t xml:space="preserve">naujausiomis naršyklių „Google Chrome“, „Mozilla Firefox“ ir „Microsoft Edge“ versijomis,</w:t>
      </w:r>
    </w:p>
    <w:p w14:paraId="3239328D" w14:textId="709706EC" w:rsidR="00785A54" w:rsidRDefault="5DCDB69A" w:rsidP="35D7FFF2">
      <w:pPr>
        <w:numPr>
          <w:ilvl w:val="0"/>
          <w:numId w:val="34"/>
        </w:numPr>
        <w:spacing w:before="100" w:beforeAutospacing="1" w:after="100" w:afterAutospacing="1"/>
        <w:jc w:val="left"/>
      </w:pPr>
      <w:r>
        <w:t xml:space="preserve"> </w:t>
      </w:r>
      <w:r>
        <w:t xml:space="preserve">naujausiomis pagalbinių technologijų versijomis.</w:t>
      </w:r>
      <w:r>
        <w:t xml:space="preser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 xml:space="preserve">Techninės specifikacijos</w:t>
      </w:r>
    </w:p>
    <w:p w14:paraId="56C786BB" w14:textId="77777777" w:rsidR="005A7954" w:rsidRDefault="005A7954" w:rsidP="00EC7351"/>
    <w:p w14:paraId="424F62F5" w14:textId="42F9DF13" w:rsidR="00EC7351" w:rsidRPr="007F14FC" w:rsidRDefault="00EC7351" w:rsidP="00EC7351">
      <w:r>
        <w:t xml:space="preserve">„Europass“ svetainės prieinamumas priklauso nuo toliau išvardytų technologijų, kurios veikia su tam tikru interneto naršyklės ir bet kokių jūsų kompiuteryje įdiegtų pagalbinių technologijų ar įskiepių deriniu. Tai:</w:t>
      </w:r>
    </w:p>
    <w:p w14:paraId="7A942931" w14:textId="77777777" w:rsidR="00EC7351" w:rsidRPr="007F14FC" w:rsidRDefault="00EC7351" w:rsidP="00EC7351">
      <w:pPr>
        <w:numPr>
          <w:ilvl w:val="0"/>
          <w:numId w:val="26"/>
        </w:numPr>
        <w:spacing w:after="0"/>
        <w:ind w:left="1077" w:hanging="357"/>
      </w:pPr>
      <w:r>
        <w:t xml:space="preserve">HTML,</w:t>
      </w:r>
    </w:p>
    <w:p w14:paraId="20FD34FD" w14:textId="77777777" w:rsidR="00EC7351" w:rsidRPr="007F14FC" w:rsidRDefault="00EC7351" w:rsidP="00EC7351">
      <w:pPr>
        <w:numPr>
          <w:ilvl w:val="0"/>
          <w:numId w:val="26"/>
        </w:numPr>
        <w:spacing w:after="0"/>
        <w:ind w:left="1077" w:hanging="357"/>
      </w:pPr>
      <w:r>
        <w:t xml:space="preserve">WAI-ARIA,</w:t>
      </w:r>
    </w:p>
    <w:p w14:paraId="2CE68EE0" w14:textId="77777777" w:rsidR="00EC7351" w:rsidRPr="007F14FC" w:rsidRDefault="00EC7351" w:rsidP="00EC7351">
      <w:pPr>
        <w:numPr>
          <w:ilvl w:val="0"/>
          <w:numId w:val="26"/>
        </w:numPr>
        <w:spacing w:after="0"/>
        <w:ind w:left="1077" w:hanging="357"/>
      </w:pPr>
      <w:r>
        <w:t xml:space="preserve">CSS,</w:t>
      </w:r>
    </w:p>
    <w:p w14:paraId="2403ED5C" w14:textId="77777777" w:rsidR="00EC7351" w:rsidRPr="007F14FC" w:rsidRDefault="00EC7351" w:rsidP="00EC7351">
      <w:pPr>
        <w:numPr>
          <w:ilvl w:val="0"/>
          <w:numId w:val="26"/>
        </w:numPr>
        <w:spacing w:after="0"/>
        <w:ind w:left="1077" w:hanging="357"/>
      </w:pPr>
      <w:r>
        <w:t xml:space="preserve">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 xml:space="preserve">Neprieinamas turinys</w:t>
      </w:r>
    </w:p>
    <w:p w14:paraId="65E180EF" w14:textId="5B05AFB9" w:rsidR="00EC7351" w:rsidRDefault="755E7800" w:rsidP="5AC6E6F2">
      <w:pPr>
        <w:spacing w:before="180" w:line="276" w:lineRule="auto"/>
      </w:pPr>
      <w:r>
        <w:t xml:space="preserve">Nors esame pasiryžę užtikrinti „Europass“ svetainės prieinamumą, yra žinomų problemų, kurias aktyviai sprendžiame.</w:t>
      </w:r>
      <w:r>
        <w:t xml:space="preserve"> </w:t>
      </w:r>
      <w:r>
        <w:t xml:space="preserve">Dėkojame už jūsų supratimą ir kantrybę, kol mums pavyks jas išspręsti.</w:t>
      </w:r>
      <w:r>
        <w:t xml:space="preserve"> </w:t>
      </w:r>
      <w:r>
        <w:t xml:space="preserve">Jei jums iškils į toliau pateiktą sąrašą neįtrauktų prieinamumo sunkumų, kreipkitės į mus.</w:t>
      </w:r>
    </w:p>
    <w:p w14:paraId="7912D527" w14:textId="3097ED04" w:rsidR="697DA1A5" w:rsidRDefault="160C0568" w:rsidP="200C443E">
      <w:pPr>
        <w:widowControl w:val="0"/>
        <w:spacing w:before="180" w:after="0" w:line="276" w:lineRule="auto"/>
      </w:pPr>
      <w:r>
        <w:rPr>
          <w:b/>
        </w:rPr>
        <w:t xml:space="preserve"> </w:t>
      </w:r>
      <w:r>
        <w:rPr>
          <w:b/>
        </w:rPr>
        <w:t xml:space="preserve">Žinomos problemos</w:t>
      </w:r>
      <w:r>
        <w:t xml:space="preserve"> (numatytos pašalinti iki 2024 m. pabaigos):</w:t>
      </w:r>
      <w:r>
        <w:t xml:space="preserve"> </w:t>
      </w:r>
    </w:p>
    <w:p w14:paraId="7767E01C" w14:textId="485029F8" w:rsidR="697DA1A5" w:rsidRDefault="31F81F0C" w:rsidP="200C443E">
      <w:pPr>
        <w:pStyle w:val="ListParagraph"/>
        <w:widowControl w:val="0"/>
        <w:numPr>
          <w:ilvl w:val="0"/>
          <w:numId w:val="1"/>
        </w:numPr>
        <w:spacing w:before="180" w:after="0" w:line="276" w:lineRule="auto"/>
      </w:pPr>
      <w:r>
        <w:t xml:space="preserve">kai kurių puslapių spalvinis kontrastas gali būti per mažas;</w:t>
      </w:r>
    </w:p>
    <w:p w14:paraId="02014850" w14:textId="3C6B2681" w:rsidR="00F1088A" w:rsidRPr="00AF1993" w:rsidRDefault="114595CF" w:rsidP="200C443E">
      <w:pPr>
        <w:pStyle w:val="ListParagraph"/>
        <w:widowControl w:val="0"/>
        <w:numPr>
          <w:ilvl w:val="0"/>
          <w:numId w:val="1"/>
        </w:numPr>
        <w:spacing w:after="0"/>
        <w:jc w:val="left"/>
      </w:pPr>
      <w:r>
        <w:t xml:space="preserve">kai kurios funkcijos nėra prieinamos arba jų prieinamumas ribotas (mažo dėmesio sritys) naudotojams, kurie naudojasi tik klaviatūra;</w:t>
      </w:r>
    </w:p>
    <w:p w14:paraId="53F04822" w14:textId="5AF5DBE1" w:rsidR="00D924E7" w:rsidRDefault="114595CF" w:rsidP="200C443E">
      <w:pPr>
        <w:pStyle w:val="ListParagraph"/>
        <w:widowControl w:val="0"/>
        <w:numPr>
          <w:ilvl w:val="0"/>
          <w:numId w:val="1"/>
        </w:numPr>
        <w:spacing w:after="0"/>
        <w:jc w:val="left"/>
      </w:pPr>
      <w:r>
        <w:t xml:space="preserve">dauguma vaizdinių elementų neturi alternatyviojo tekstinio aprašymo atitinkama kalba;</w:t>
      </w:r>
    </w:p>
    <w:p w14:paraId="35CC691A" w14:textId="24189EB3" w:rsidR="00EC59D7" w:rsidRPr="00AF1993" w:rsidRDefault="350041B7" w:rsidP="200C443E">
      <w:pPr>
        <w:pStyle w:val="ListParagraph"/>
        <w:widowControl w:val="0"/>
        <w:numPr>
          <w:ilvl w:val="0"/>
          <w:numId w:val="1"/>
        </w:numPr>
        <w:spacing w:after="0"/>
        <w:jc w:val="left"/>
      </w:pPr>
      <w:r>
        <w:t xml:space="preserve">kai kuriuose laukuose nėra etikečių ekranų skaitytuvams ar panašioms pagalbinėms technologijoms;</w:t>
      </w:r>
    </w:p>
    <w:p w14:paraId="2160CF67" w14:textId="1842C882" w:rsidR="00D924E7" w:rsidRPr="00AF1993" w:rsidRDefault="114595CF" w:rsidP="200C443E">
      <w:pPr>
        <w:pStyle w:val="ListParagraph"/>
        <w:widowControl w:val="0"/>
        <w:numPr>
          <w:ilvl w:val="0"/>
          <w:numId w:val="1"/>
        </w:numPr>
        <w:spacing w:after="0"/>
        <w:jc w:val="left"/>
      </w:pPr>
      <w:r>
        <w:t xml:space="preserve">kai kurie pranešimai apie klaidas nėra aiškiai susieti su formos valdikliais;</w:t>
      </w:r>
    </w:p>
    <w:p w14:paraId="1A015EAA" w14:textId="34A2DFAA" w:rsidR="00D924E7" w:rsidRDefault="114595CF" w:rsidP="200C443E">
      <w:pPr>
        <w:pStyle w:val="ListParagraph"/>
        <w:widowControl w:val="0"/>
        <w:numPr>
          <w:ilvl w:val="0"/>
          <w:numId w:val="1"/>
        </w:numPr>
        <w:spacing w:after="0"/>
        <w:jc w:val="left"/>
      </w:pPr>
      <w:r>
        <w:t xml:space="preserve">kai kurie dokumentai yra PDF formato ir nėra prieinami;</w:t>
      </w:r>
    </w:p>
    <w:p w14:paraId="080F47A3" w14:textId="035BC469" w:rsidR="00AC4598" w:rsidRDefault="114595CF" w:rsidP="200C443E">
      <w:pPr>
        <w:pStyle w:val="ListParagraph"/>
        <w:widowControl w:val="0"/>
        <w:numPr>
          <w:ilvl w:val="0"/>
          <w:numId w:val="1"/>
        </w:numPr>
        <w:spacing w:after="0"/>
        <w:jc w:val="left"/>
      </w:pPr>
      <w:r>
        <w:t xml:space="preserve">kai kurie puslapiai nėra visiškai pritaikyti ekranų skaitytuvams ar panašioms pagalbinėms technologijoms;</w:t>
      </w:r>
    </w:p>
    <w:p w14:paraId="18FF54C3" w14:textId="2C0A54B5" w:rsidR="00AC4598" w:rsidRDefault="114595CF" w:rsidP="200C443E">
      <w:pPr>
        <w:pStyle w:val="ListParagraph"/>
        <w:widowControl w:val="0"/>
        <w:numPr>
          <w:ilvl w:val="0"/>
          <w:numId w:val="1"/>
        </w:numPr>
        <w:spacing w:after="0"/>
        <w:jc w:val="left"/>
      </w:pPr>
      <w:r>
        <w:t xml:space="preserve">kai kurių antraščių struktūra nėra tinkama pagalbinėms technologijoms;</w:t>
      </w:r>
    </w:p>
    <w:p w14:paraId="2AE23792" w14:textId="6B0D5125" w:rsidR="00896DC0" w:rsidRDefault="407DE4EE" w:rsidP="200C443E">
      <w:pPr>
        <w:pStyle w:val="ListParagraph"/>
        <w:widowControl w:val="0"/>
        <w:numPr>
          <w:ilvl w:val="0"/>
          <w:numId w:val="1"/>
        </w:numPr>
        <w:spacing w:after="0"/>
        <w:jc w:val="left"/>
      </w:pPr>
      <w:r>
        <w:t xml:space="preserve">kai kuriuose puslapiuose yra turinio elementų, pavyzdžiui, lentelių ir šoninių meniu, kurie gali būti neprieinami;</w:t>
      </w:r>
    </w:p>
    <w:p w14:paraId="6CF69CF9" w14:textId="1E9D0B6C" w:rsidR="00896DC0" w:rsidRDefault="407DE4EE">
      <w:pPr>
        <w:pStyle w:val="ListParagraph"/>
        <w:widowControl w:val="0"/>
        <w:numPr>
          <w:ilvl w:val="0"/>
          <w:numId w:val="1"/>
        </w:numPr>
        <w:spacing w:after="0"/>
        <w:jc w:val="left"/>
      </w:pPr>
      <w:r>
        <w:t xml:space="preserve">kai kurių URL kelio vardai yra nesuprantami arba neteisingi;</w:t>
      </w:r>
    </w:p>
    <w:p w14:paraId="427C5223" w14:textId="1EB5E7DE" w:rsidR="00BE0E7F" w:rsidRDefault="0803AE8C" w:rsidP="200C443E">
      <w:pPr>
        <w:pStyle w:val="ListParagraph"/>
        <w:widowControl w:val="0"/>
        <w:numPr>
          <w:ilvl w:val="0"/>
          <w:numId w:val="1"/>
        </w:numPr>
        <w:spacing w:after="0"/>
        <w:jc w:val="left"/>
      </w:pPr>
      <w:r>
        <w:t xml:space="preserve">kai kurie elementai nėra visiškai pritaikyti prieinamumui naudojantis mobiliaisiais įrenginiais.</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Puslapis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iš </w:t>
            </w:r>
            <w:r>
              <w:rPr>
                <w:b/>
                <w:color w:val="2B579A"/>
                <w:sz w:val="24"/>
                <w:shd w:val="clear" w:color="auto" w:fill="E6E6E6"/>
              </w:rPr>
              <w:fldChar w:fldCharType="begin" w:dirty="true"/>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54723">
        <w:pPr>
          <w:pStyle w:val="Footer"/>
        </w:pPr>
        <w:sdt>
          <w:sdtPr>
            <w:id w:val="-1245179179"/>
            <w:dataBinding w:xpath="/Author/Addresses/Address[Id = 'f03b5801-04c9-4931-aa17-c6d6c70bc579']/Footer" w:storeItemID="{EBD4A2BB-D3C2-4E81-B1F9-6FB82AC3CEB9}"/>
            <w:text w:multiLine="1"/>
          </w:sdtPr>
          <w:sdtEndPr/>
          <w:sdtContent>
            <w:r>
              <w:t xml:space="preserve">Commission européenne/Europese Commissie, 1049 Bruxelles/Brussel, BELGIQUE/BELGIË - Tel. +32 22991111</w:t>
            </w:r>
          </w:sdtContent>
        </w:sdt>
      </w:p>
      <w:p w14:paraId="4B889E1A" w14:textId="5AE6768E" w:rsidR="00EC7351" w:rsidRDefault="00954723">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t xml:space="preserve">     </w:t>
            </w:r>
          </w:sdtContent>
        </w:sdt>
      </w:p>
      <w:p w14:paraId="532621B0" w14:textId="77777777" w:rsidR="00EC7351" w:rsidRDefault="00954723">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dirty"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n/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EUROPOS KOMISIJA</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UŽIMTUMO, SOCIALINIŲ REIKALŲ IR ĮTRAUKTIES GENERALINIS DIREKTORATAS</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E direktoratas. Darbo jėgos judumas ir tarptautiniai reikalai</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E1 skyrius. Darbo jėgos judumas, valstybinės užimtumo tarnybos, EDI</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599</Words>
  <Characters>3420</Characters>
  <Application>Microsoft Office Word</Application>
  <DocSecurity>0</DocSecurity>
  <PresentationFormat>Microsoft Word 14.0</PresentationFormat>
  <Lines>28</Lines>
  <Paragraphs>8</Paragraphs>
  <ScaleCrop>true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SUNDARA SEGARAN Maxine (EMPL-EXT)</cp:lastModifiedBy>
  <cp:revision>2</cp:revision>
  <cp:lastPrinted>2021-10-25T20:16:00Z</cp:lastPrinted>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