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Тази таблица съдържа логото на Европейската комисия в лявата колона, а в дясната колона — информация относно организационното звено, от което е авторът или лицето, подписало документа."/>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color w:val="2B579A"/>
                    <w:shd w:val="clear" w:color="auto" w:fill="E6E6E6"/>
                  </w:rPr>
                  <w:drawing>
                    <wp:inline distT="0" distB="0" distL="0" distR="0" wp14:anchorId="528B0FAA" wp14:editId="3BE4CA6B">
                      <wp:extent cx="1371600" cy="676800"/>
                      <wp:effectExtent l="0" t="0" r="0" b="0"/>
                      <wp:docPr id="1" name="Picture 1" descr="Лого на Европейската комисия — 12 жълти звезди на син фон, подредени в кръг и обградени от два графични елемента в сив цвят, които символизират сградата „Берлемон“ — седалището на Европейската коми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54723">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t xml:space="preserve">ЕВРОПЕЙСКА КОМИСИЯ</w:t>
                    </w:r>
                  </w:sdtContent>
                </w:sdt>
              </w:p>
              <w:p w14:paraId="2074A464" w14:textId="39B41681" w:rsidR="00FE373C" w:rsidRPr="007F14FC" w:rsidRDefault="00954723">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Pr>
                        <w:caps/>
                      </w:rPr>
                      <w:t xml:space="preserve">ГЕНЕРАЛНА ДИРЕКЦИЯ „ТРУДОВА ЗАЕТОСТ, СОЦИАЛНИ ВЪПРОСИ И ПРИОБЩАВАНЕ“</w:t>
                    </w:r>
                  </w:sdtContent>
                </w:sdt>
              </w:p>
              <w:p w14:paraId="35D34AB3" w14:textId="77777777" w:rsidR="00FE373C" w:rsidRPr="007F14FC" w:rsidRDefault="00FE373C">
                <w:pPr>
                  <w:pStyle w:val="ZDGName"/>
                </w:pPr>
              </w:p>
              <w:p w14:paraId="05E57B9D" w14:textId="4CD0133A" w:rsidR="00FE373C" w:rsidRPr="007F14FC" w:rsidRDefault="00954723">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t xml:space="preserve">Дирекция E „Трудова мобилност и международни въпроси“</w:t>
                    </w:r>
                  </w:sdtContent>
                </w:sdt>
              </w:p>
              <w:p w14:paraId="4FC3ED8E" w14:textId="657E7308" w:rsidR="00FE373C" w:rsidRPr="007F14FC" w:rsidRDefault="00954723"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Pr>
                        <w:b/>
                      </w:rPr>
                      <w:t xml:space="preserve">Отдел Е1 „Трудова мобилност, публични служби по заетостта, ЕОТ“</w:t>
                    </w:r>
                  </w:sdtContent>
                </w:sdt>
              </w:p>
            </w:tc>
          </w:tr>
        </w:sdtContent>
      </w:sdt>
    </w:tbl>
    <w:p w14:paraId="40810E1C" w14:textId="615BFA28" w:rsidR="007F14FC" w:rsidRPr="00B95F32" w:rsidRDefault="007F14FC" w:rsidP="001F4C2B">
      <w:pPr>
        <w:pStyle w:val="Heading2"/>
      </w:pPr>
      <w:r>
        <w:t xml:space="preserve">Декларация за достъпност за Европас</w:t>
      </w:r>
    </w:p>
    <w:p w14:paraId="4078DA32" w14:textId="740123A6" w:rsidR="007F14FC" w:rsidRPr="007F14FC" w:rsidRDefault="35E89FFF" w:rsidP="007F14FC">
      <w:pPr>
        <w:pStyle w:val="Text1"/>
        <w:ind w:left="0"/>
      </w:pPr>
      <w:r>
        <w:t xml:space="preserve">Настоящата декларация се отнася за съдържание, публикувано в домейна: </w:t>
      </w:r>
      <w:hyperlink r:id="rId12">
        <w:r>
          <w:rPr>
            <w:rStyle w:val="Hyperlink"/>
          </w:rPr>
          <w:t xml:space="preserve">https://europa.eu/europass</w:t>
        </w:r>
      </w:hyperlink>
      <w:r>
        <w:t xml:space="preserve"> и неговите поддомейни.</w:t>
      </w:r>
      <w:r>
        <w:t xml:space="preserve"> </w:t>
      </w:r>
    </w:p>
    <w:p w14:paraId="54D3743B" w14:textId="6748B4D5" w:rsidR="007F14FC" w:rsidRPr="007F14FC" w:rsidRDefault="35E89FFF" w:rsidP="007F14FC">
      <w:pPr>
        <w:pStyle w:val="Text1"/>
        <w:ind w:left="0"/>
      </w:pPr>
      <w:r>
        <w:t xml:space="preserve">Този уебсайт се управлява от ГД „Трудова заетост, социални въпроси и приобщаване“, отдел E1.</w:t>
      </w:r>
      <w:r>
        <w:t xml:space="preserve"> </w:t>
      </w:r>
      <w:r>
        <w:t xml:space="preserve">Той е създаден така, че да се използва от възможно най-много хора, включително хора с увреждания.</w:t>
      </w:r>
    </w:p>
    <w:p w14:paraId="4F1ECE61" w14:textId="77777777" w:rsidR="00E35A7A" w:rsidRPr="007F14FC" w:rsidRDefault="00E35A7A" w:rsidP="00E35A7A">
      <w:r>
        <w:t xml:space="preserve">Би трябвало да можете:</w:t>
      </w:r>
    </w:p>
    <w:p w14:paraId="1F89F2F7" w14:textId="14FAC846" w:rsidR="00225512" w:rsidRPr="00AF1993" w:rsidRDefault="00AC4598" w:rsidP="009D007D">
      <w:pPr>
        <w:pStyle w:val="ListParagraph"/>
        <w:numPr>
          <w:ilvl w:val="0"/>
          <w:numId w:val="38"/>
        </w:numPr>
      </w:pPr>
      <w:r>
        <w:t xml:space="preserve">да увеличавате големината на съдържанието до 200 % без проблеми,</w:t>
      </w:r>
    </w:p>
    <w:p w14:paraId="0A3AB54A" w14:textId="77777777" w:rsidR="00225512" w:rsidRPr="00AF1993" w:rsidRDefault="00225512" w:rsidP="00225512">
      <w:pPr>
        <w:pStyle w:val="ListParagraph"/>
        <w:numPr>
          <w:ilvl w:val="0"/>
          <w:numId w:val="38"/>
        </w:numPr>
      </w:pPr>
      <w:r>
        <w:t xml:space="preserve">да разглеждате по-голямата част от уебсайта само с помощта на клавиатура,</w:t>
      </w:r>
    </w:p>
    <w:p w14:paraId="520AE6B3" w14:textId="105D7D13" w:rsidR="000126E5" w:rsidRPr="00AF1993" w:rsidRDefault="00225512" w:rsidP="009D007D">
      <w:pPr>
        <w:pStyle w:val="ListParagraph"/>
        <w:numPr>
          <w:ilvl w:val="0"/>
          <w:numId w:val="33"/>
        </w:numPr>
      </w:pPr>
      <w:r>
        <w:t xml:space="preserve">да разглеждате по-голямата част от уебсайта, като използвате съвременен екранен четец и софтуер за разпознаване на реч (на вашия компютър или телефон).</w:t>
      </w:r>
      <w:r>
        <w:t xml:space="preserve"> </w:t>
      </w:r>
    </w:p>
    <w:p w14:paraId="1A4510C6" w14:textId="3A06EEAA" w:rsidR="00E35A7A" w:rsidRPr="007F14FC" w:rsidRDefault="00E35A7A" w:rsidP="000126E5">
      <w:r>
        <w:t xml:space="preserve">Уебсайтът е създаден така, че да бъде в съответствие с </w:t>
      </w:r>
      <w:hyperlink r:id="rId13">
        <w:r>
          <w:rPr>
            <w:color w:val="0563C1" w:themeColor="hyperlink"/>
            <w:u w:val="single"/>
          </w:rPr>
          <w:t xml:space="preserve">техническия стандарт за уебсайтове и мобилни приложения EN 301 549, v.3.2.1</w:t>
        </w:r>
      </w:hyperlink>
      <w:r>
        <w:t xml:space="preserve">.</w:t>
      </w:r>
      <w:r>
        <w:t xml:space="preserve"> </w:t>
      </w:r>
      <w:r>
        <w:t xml:space="preserve">Той се придържа плътно към ниво AA на </w:t>
      </w:r>
      <w:hyperlink r:id="rId14">
        <w:r>
          <w:rPr>
            <w:color w:val="0563C1" w:themeColor="hyperlink"/>
            <w:u w:val="single"/>
          </w:rPr>
          <w:t xml:space="preserve">Насоките за достъпност на уеб съдържанието (WCAG), версия 2.1</w:t>
        </w:r>
      </w:hyperlink>
      <w:r>
        <w:t xml:space="preserve">.</w:t>
      </w:r>
    </w:p>
    <w:p w14:paraId="66A12D4E" w14:textId="77777777" w:rsidR="00E35A7A" w:rsidRPr="00E35A7A" w:rsidRDefault="00E35A7A" w:rsidP="00E35A7A">
      <w:pPr>
        <w:keepNext/>
        <w:spacing w:after="0"/>
        <w:jc w:val="left"/>
        <w:outlineLvl w:val="1"/>
        <w:rPr>
          <w:b/>
        </w:rPr>
      </w:pPr>
      <w:r>
        <w:rPr>
          <w:b/>
        </w:rPr>
        <w:t xml:space="preserve">Степен на съответствие</w:t>
      </w:r>
      <w:r>
        <w:rPr>
          <w:b/>
        </w:rPr>
        <w:br/>
      </w:r>
    </w:p>
    <w:p w14:paraId="66C3D011" w14:textId="6AC3AC33" w:rsidR="00225512" w:rsidRPr="00E84E56" w:rsidRDefault="0AC43EA8" w:rsidP="00225512">
      <w:r>
        <w:t xml:space="preserve">Този уебсайт </w:t>
      </w:r>
      <w:r>
        <w:rPr>
          <w:b/>
        </w:rPr>
        <w:t xml:space="preserve">съответства частично</w:t>
      </w:r>
      <w:r>
        <w:t xml:space="preserve"> на </w:t>
      </w:r>
      <w:hyperlink r:id="rId15">
        <w:r>
          <w:rPr>
            <w:rStyle w:val="Hyperlink"/>
          </w:rPr>
          <w:t xml:space="preserve">технически стандарт EN 301 549, v.3.2.1</w:t>
        </w:r>
      </w:hyperlink>
      <w:r>
        <w:t xml:space="preserve"> и на </w:t>
      </w:r>
      <w:hyperlink r:id="rId16">
        <w:r>
          <w:rPr>
            <w:rStyle w:val="Hyperlink"/>
          </w:rPr>
          <w:t xml:space="preserve">Насоките за достъпност на уеб съдържанието (WCAG) 2.1, ниво AA</w:t>
        </w:r>
      </w:hyperlink>
      <w:r>
        <w:t xml:space="preserve">.</w:t>
      </w:r>
      <w:r>
        <w:t xml:space="preserve"> </w:t>
      </w:r>
      <w:r>
        <w:t xml:space="preserve">За повече подробности вижте раздел </w:t>
      </w:r>
      <w:hyperlink w:anchor="_Non-accessible_content">
        <w:r>
          <w:rPr>
            <w:rStyle w:val="Hyperlink"/>
          </w:rPr>
          <w:t xml:space="preserve">Недостъпно съдържание</w:t>
        </w:r>
      </w:hyperlink>
      <w:r>
        <w:t xml:space="preserve">.</w:t>
      </w:r>
    </w:p>
    <w:p w14:paraId="4146F897" w14:textId="0C4BE212" w:rsidR="00E35A7A" w:rsidRPr="007F14FC" w:rsidRDefault="00E35A7A" w:rsidP="00E35A7A">
      <w:r>
        <w:t xml:space="preserve">Уебсайтът е тестван за последен път през април 2023 г.</w:t>
      </w:r>
    </w:p>
    <w:p w14:paraId="5ABBA2F4" w14:textId="77777777" w:rsidR="00E35A7A" w:rsidRPr="00E35A7A" w:rsidRDefault="00E35A7A" w:rsidP="00E35A7A">
      <w:pPr>
        <w:keepNext/>
        <w:spacing w:after="0"/>
        <w:jc w:val="left"/>
        <w:outlineLvl w:val="1"/>
        <w:rPr>
          <w:b/>
        </w:rPr>
      </w:pPr>
      <w:r>
        <w:rPr>
          <w:b/>
        </w:rPr>
        <w:t xml:space="preserve">Изготвяне на настоящата декларация</w:t>
      </w:r>
    </w:p>
    <w:p w14:paraId="6B674C45" w14:textId="4612CB79" w:rsidR="00E35A7A" w:rsidRDefault="00E35A7A" w:rsidP="00E35A7A">
      <w:r>
        <w:br/>
      </w:r>
      <w:r>
        <w:t xml:space="preserve">Настоящата декларация е преразгледана на 15.12.2023 г.</w:t>
      </w:r>
    </w:p>
    <w:p w14:paraId="2918FEE8" w14:textId="77777777" w:rsidR="00E35A7A" w:rsidRPr="00E35A7A" w:rsidRDefault="00E35A7A" w:rsidP="00E35A7A">
      <w:pPr>
        <w:keepNext/>
        <w:spacing w:after="0"/>
        <w:jc w:val="left"/>
        <w:outlineLvl w:val="1"/>
        <w:rPr>
          <w:b/>
        </w:rPr>
      </w:pPr>
      <w:r>
        <w:rPr>
          <w:b/>
        </w:rPr>
        <w:t xml:space="preserve">Обратна информация</w:t>
      </w:r>
    </w:p>
    <w:p w14:paraId="3EF7E625" w14:textId="563019B3" w:rsidR="00E35A7A" w:rsidRPr="007F14FC" w:rsidRDefault="00E35A7A" w:rsidP="00E35A7A">
      <w:r>
        <w:br/>
      </w:r>
      <w:r>
        <w:t xml:space="preserve">Ще се радваме да получим вашите коментари и предложения във връзка с достъпността на уебсайта на Европас.</w:t>
      </w:r>
      <w:r>
        <w:t xml:space="preserve"> </w:t>
      </w:r>
      <w:r>
        <w:t xml:space="preserve">Моля, уведомете ни, ако се сблъсквате с пречки по отношение на достъпността:</w:t>
      </w:r>
    </w:p>
    <w:p w14:paraId="4744E771" w14:textId="5A871DF4" w:rsidR="00E35A7A" w:rsidRPr="00EC59D7" w:rsidRDefault="00225512" w:rsidP="009D007D">
      <w:pPr>
        <w:numPr>
          <w:ilvl w:val="0"/>
          <w:numId w:val="23"/>
        </w:numPr>
        <w:ind w:left="720"/>
      </w:pPr>
      <w:r>
        <w:t xml:space="preserve">тел.:</w:t>
      </w:r>
      <w:r>
        <w:t xml:space="preserve"> </w:t>
      </w:r>
      <w:r>
        <w:rPr>
          <w:b/>
        </w:rPr>
        <w:t xml:space="preserve">00 800 6 7 8 9 10 11</w:t>
      </w:r>
      <w:r>
        <w:t xml:space="preserve"> от всяка точка в ЕС в делничен ден от 9:00 до 18:00 ч. централноевропейско време на всеки език на ЕС* (обажданията са безплатни);</w:t>
      </w:r>
      <w:r>
        <w:t xml:space="preserve"> </w:t>
      </w:r>
    </w:p>
    <w:p w14:paraId="6EAA89C5" w14:textId="3B41C853" w:rsidR="00EC59D7" w:rsidRPr="00EC59D7" w:rsidRDefault="00E35A7A" w:rsidP="5AC6E6F2">
      <w:pPr>
        <w:numPr>
          <w:ilvl w:val="0"/>
          <w:numId w:val="23"/>
        </w:numPr>
        <w:ind w:left="720"/>
        <w:rPr>
          <w:rStyle w:val="Hyperlink"/>
        </w:rPr>
      </w:pPr>
      <w:r>
        <w:t xml:space="preserve">формуляр за обратна информация: </w:t>
      </w:r>
      <w:r>
        <w:t xml:space="preserve"> </w:t>
      </w:r>
      <w:r>
        <w:t xml:space="preserve">пишете ни чрез </w:t>
      </w:r>
      <w:hyperlink r:id="rId17">
        <w:r>
          <w:rPr>
            <w:rStyle w:val="Hyperlink"/>
          </w:rPr>
          <w:t xml:space="preserve">формуляра за контакти във връзка с Европас</w:t>
        </w:r>
      </w:hyperlink>
      <w:r>
        <w:t xml:space="preserve">.</w:t>
      </w:r>
    </w:p>
    <w:p w14:paraId="73D4BBF7" w14:textId="5F54F931" w:rsidR="00E35A7A" w:rsidRDefault="00E35A7A" w:rsidP="00EC59D7">
      <w:r>
        <w:t xml:space="preserve">Опитваме се да отговаряме в рамките на 15 работни дни от датата на получаване на запитването от компетентната служба на Комисията.</w:t>
      </w:r>
    </w:p>
    <w:p w14:paraId="433BF82E" w14:textId="77777777" w:rsidR="00EC7351" w:rsidRPr="00EC7351" w:rsidRDefault="00EC7351" w:rsidP="00EC7351">
      <w:pPr>
        <w:keepNext/>
        <w:spacing w:after="0"/>
        <w:jc w:val="left"/>
        <w:outlineLvl w:val="1"/>
        <w:rPr>
          <w:b/>
        </w:rPr>
      </w:pPr>
      <w:r>
        <w:rPr>
          <w:b/>
        </w:rPr>
        <w:t xml:space="preserve">Съвместимост с браузъри и помощни технологии</w:t>
      </w:r>
    </w:p>
    <w:p w14:paraId="6EACC384" w14:textId="0AEFAC39" w:rsidR="00EC7351" w:rsidRPr="007F14FC" w:rsidRDefault="00EC7351" w:rsidP="00EC7351">
      <w:pPr>
        <w:jc w:val="left"/>
      </w:pPr>
      <w:r>
        <w:br/>
      </w:r>
      <w:r>
        <w:t xml:space="preserve">Уебсайтът на Европас е създаден така, че да е съвместим със следните най-често използвани помощни технологии:</w:t>
      </w:r>
    </w:p>
    <w:p w14:paraId="1F6174D7" w14:textId="6B07A09C" w:rsidR="000338C5" w:rsidRPr="0052454F" w:rsidRDefault="5DCDB69A" w:rsidP="35D7FFF2">
      <w:pPr>
        <w:numPr>
          <w:ilvl w:val="0"/>
          <w:numId w:val="34"/>
        </w:numPr>
        <w:spacing w:after="100" w:afterAutospacing="1"/>
        <w:jc w:val="left"/>
      </w:pPr>
      <w:r>
        <w:t xml:space="preserve">последната версия на браузърите Google Chrome, Mozilla Firefox и Microsoft Edge;</w:t>
      </w:r>
    </w:p>
    <w:p w14:paraId="3239328D" w14:textId="709706EC" w:rsidR="00785A54" w:rsidRDefault="5DCDB69A" w:rsidP="35D7FFF2">
      <w:pPr>
        <w:numPr>
          <w:ilvl w:val="0"/>
          <w:numId w:val="34"/>
        </w:numPr>
        <w:spacing w:before="100" w:beforeAutospacing="1" w:after="100" w:afterAutospacing="1"/>
        <w:jc w:val="left"/>
      </w:pPr>
      <w:r>
        <w:t xml:space="preserve"> </w:t>
      </w:r>
      <w:r>
        <w:t xml:space="preserve">в съчетание с последните версии на помощни технологии.</w:t>
      </w:r>
      <w:r>
        <w:t xml:space="preser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 xml:space="preserve">Технически спецификации</w:t>
      </w:r>
    </w:p>
    <w:p w14:paraId="56C786BB" w14:textId="77777777" w:rsidR="005A7954" w:rsidRDefault="005A7954" w:rsidP="00EC7351"/>
    <w:p w14:paraId="424F62F5" w14:textId="42F9DF13" w:rsidR="00EC7351" w:rsidRPr="007F14FC" w:rsidRDefault="00EC7351" w:rsidP="00EC7351">
      <w:r>
        <w:t xml:space="preserve">Достъпността на уебсайта на Европас се основава на следните технологии, чрез които се осигурява работата на сайта при конкретната комбинация от уеб браузър и всякакви помощни технологии или плъгини, инсталирани на вашия компютър:</w:t>
      </w:r>
    </w:p>
    <w:p w14:paraId="7A942931" w14:textId="77777777" w:rsidR="00EC7351" w:rsidRPr="007F14FC" w:rsidRDefault="00EC7351" w:rsidP="00EC7351">
      <w:pPr>
        <w:numPr>
          <w:ilvl w:val="0"/>
          <w:numId w:val="26"/>
        </w:numPr>
        <w:spacing w:after="0"/>
        <w:ind w:left="1077" w:hanging="357"/>
      </w:pPr>
      <w:r>
        <w:t xml:space="preserve">HTML</w:t>
      </w:r>
    </w:p>
    <w:p w14:paraId="20FD34FD" w14:textId="77777777" w:rsidR="00EC7351" w:rsidRPr="007F14FC" w:rsidRDefault="00EC7351" w:rsidP="00EC7351">
      <w:pPr>
        <w:numPr>
          <w:ilvl w:val="0"/>
          <w:numId w:val="26"/>
        </w:numPr>
        <w:spacing w:after="0"/>
        <w:ind w:left="1077" w:hanging="357"/>
      </w:pPr>
      <w:r>
        <w:t xml:space="preserve">WAI-ARIA</w:t>
      </w:r>
    </w:p>
    <w:p w14:paraId="2CE68EE0" w14:textId="77777777" w:rsidR="00EC7351" w:rsidRPr="007F14FC" w:rsidRDefault="00EC7351" w:rsidP="00EC7351">
      <w:pPr>
        <w:numPr>
          <w:ilvl w:val="0"/>
          <w:numId w:val="26"/>
        </w:numPr>
        <w:spacing w:after="0"/>
        <w:ind w:left="1077" w:hanging="357"/>
      </w:pPr>
      <w:r>
        <w:t xml:space="preserve">CSS</w:t>
      </w:r>
    </w:p>
    <w:p w14:paraId="2403ED5C" w14:textId="77777777" w:rsidR="00EC7351" w:rsidRPr="007F14FC" w:rsidRDefault="00EC7351" w:rsidP="00EC7351">
      <w:pPr>
        <w:numPr>
          <w:ilvl w:val="0"/>
          <w:numId w:val="26"/>
        </w:numPr>
        <w:spacing w:after="0"/>
        <w:ind w:left="1077" w:hanging="357"/>
      </w:pPr>
      <w:r>
        <w:t xml:space="preserve">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 xml:space="preserve">Недостъпно съдържание</w:t>
      </w:r>
    </w:p>
    <w:p w14:paraId="65E180EF" w14:textId="5B05AFB9" w:rsidR="00EC7351" w:rsidRDefault="755E7800" w:rsidP="5AC6E6F2">
      <w:pPr>
        <w:spacing w:before="180" w:line="276" w:lineRule="auto"/>
      </w:pPr>
      <w:r>
        <w:t xml:space="preserve">Въпреки че се стремим да осигурим достъпността на уебсайта на Европас, съществуват известни ограничения, по които работим активно.</w:t>
      </w:r>
      <w:r>
        <w:t xml:space="preserve"> </w:t>
      </w:r>
      <w:r>
        <w:t xml:space="preserve">Благодарим ви за разбирането и търпението, докато работим за отстраняването на тези проблеми.</w:t>
      </w:r>
      <w:r>
        <w:t xml:space="preserve"> </w:t>
      </w:r>
      <w:r>
        <w:t xml:space="preserve">Ако се сблъскате с пречка по отношение на достъпността, която не е посочена по-долу, моля, свържете се с нас.</w:t>
      </w:r>
    </w:p>
    <w:p w14:paraId="7912D527" w14:textId="3097ED04" w:rsidR="697DA1A5" w:rsidRDefault="160C0568" w:rsidP="200C443E">
      <w:pPr>
        <w:widowControl w:val="0"/>
        <w:spacing w:before="180" w:after="0" w:line="276" w:lineRule="auto"/>
      </w:pPr>
      <w:r>
        <w:rPr>
          <w:b/>
        </w:rPr>
        <w:t xml:space="preserve"> </w:t>
      </w:r>
      <w:r>
        <w:rPr>
          <w:b/>
        </w:rPr>
        <w:t xml:space="preserve">Известни ограничения</w:t>
      </w:r>
      <w:r>
        <w:t xml:space="preserve"> (планирано отстраняване до края на 2024 г.):</w:t>
      </w:r>
      <w:r>
        <w:t xml:space="preserve"> </w:t>
      </w:r>
    </w:p>
    <w:p w14:paraId="7767E01C" w14:textId="485029F8" w:rsidR="697DA1A5" w:rsidRDefault="31F81F0C" w:rsidP="200C443E">
      <w:pPr>
        <w:pStyle w:val="ListParagraph"/>
        <w:widowControl w:val="0"/>
        <w:numPr>
          <w:ilvl w:val="0"/>
          <w:numId w:val="1"/>
        </w:numPr>
        <w:spacing w:before="180" w:after="0" w:line="276" w:lineRule="auto"/>
      </w:pPr>
      <w:r>
        <w:t xml:space="preserve">Някои страници може да са с недобър цветови контраст.</w:t>
      </w:r>
    </w:p>
    <w:p w14:paraId="02014850" w14:textId="3C6B2681" w:rsidR="00F1088A" w:rsidRPr="00AF1993" w:rsidRDefault="114595CF" w:rsidP="200C443E">
      <w:pPr>
        <w:pStyle w:val="ListParagraph"/>
        <w:widowControl w:val="0"/>
        <w:numPr>
          <w:ilvl w:val="0"/>
          <w:numId w:val="1"/>
        </w:numPr>
        <w:spacing w:after="0"/>
        <w:jc w:val="left"/>
      </w:pPr>
      <w:r>
        <w:t xml:space="preserve">Някои функции не са достъпни или са с ограничена достъпност (недостатъчно наличие на фокус) за потребители, които използват само клавиатура.</w:t>
      </w:r>
    </w:p>
    <w:p w14:paraId="53F04822" w14:textId="5AF5DBE1" w:rsidR="00D924E7" w:rsidRDefault="114595CF" w:rsidP="200C443E">
      <w:pPr>
        <w:pStyle w:val="ListParagraph"/>
        <w:widowControl w:val="0"/>
        <w:numPr>
          <w:ilvl w:val="0"/>
          <w:numId w:val="1"/>
        </w:numPr>
        <w:spacing w:after="0"/>
        <w:jc w:val="left"/>
      </w:pPr>
      <w:r>
        <w:t xml:space="preserve">За повечето визуални елементи няма текстова алтернатива на съответния език.</w:t>
      </w:r>
    </w:p>
    <w:p w14:paraId="35CC691A" w14:textId="24189EB3" w:rsidR="00EC59D7" w:rsidRPr="00AF1993" w:rsidRDefault="350041B7" w:rsidP="200C443E">
      <w:pPr>
        <w:pStyle w:val="ListParagraph"/>
        <w:widowControl w:val="0"/>
        <w:numPr>
          <w:ilvl w:val="0"/>
          <w:numId w:val="1"/>
        </w:numPr>
        <w:spacing w:after="0"/>
        <w:jc w:val="left"/>
      </w:pPr>
      <w:r>
        <w:t xml:space="preserve">За някои полета няма етикети за екранни четци или подобни помощни технологии.</w:t>
      </w:r>
    </w:p>
    <w:p w14:paraId="2160CF67" w14:textId="1842C882" w:rsidR="00D924E7" w:rsidRPr="00AF1993" w:rsidRDefault="114595CF" w:rsidP="200C443E">
      <w:pPr>
        <w:pStyle w:val="ListParagraph"/>
        <w:widowControl w:val="0"/>
        <w:numPr>
          <w:ilvl w:val="0"/>
          <w:numId w:val="1"/>
        </w:numPr>
        <w:spacing w:after="0"/>
        <w:jc w:val="left"/>
      </w:pPr>
      <w:r>
        <w:t xml:space="preserve">Някои съобщения за грешки не са ясно свързани с контролите на формулярите.</w:t>
      </w:r>
    </w:p>
    <w:p w14:paraId="1A015EAA" w14:textId="34A2DFAA" w:rsidR="00D924E7" w:rsidRDefault="114595CF" w:rsidP="200C443E">
      <w:pPr>
        <w:pStyle w:val="ListParagraph"/>
        <w:widowControl w:val="0"/>
        <w:numPr>
          <w:ilvl w:val="0"/>
          <w:numId w:val="1"/>
        </w:numPr>
        <w:spacing w:after="0"/>
        <w:jc w:val="left"/>
      </w:pPr>
      <w:r>
        <w:t xml:space="preserve">Някои документи са във формат PDF и не са достъпни.</w:t>
      </w:r>
    </w:p>
    <w:p w14:paraId="080F47A3" w14:textId="035BC469" w:rsidR="00AC4598" w:rsidRDefault="114595CF" w:rsidP="200C443E">
      <w:pPr>
        <w:pStyle w:val="ListParagraph"/>
        <w:widowControl w:val="0"/>
        <w:numPr>
          <w:ilvl w:val="0"/>
          <w:numId w:val="1"/>
        </w:numPr>
        <w:spacing w:after="0"/>
        <w:jc w:val="left"/>
      </w:pPr>
      <w:r>
        <w:t xml:space="preserve">Някои страници не са напълно адаптирани за екранни четци или подобни помощни технологии.</w:t>
      </w:r>
    </w:p>
    <w:p w14:paraId="18FF54C3" w14:textId="2C0A54B5" w:rsidR="00AC4598" w:rsidRDefault="114595CF" w:rsidP="200C443E">
      <w:pPr>
        <w:pStyle w:val="ListParagraph"/>
        <w:widowControl w:val="0"/>
        <w:numPr>
          <w:ilvl w:val="0"/>
          <w:numId w:val="1"/>
        </w:numPr>
        <w:spacing w:after="0"/>
        <w:jc w:val="left"/>
      </w:pPr>
      <w:r>
        <w:t xml:space="preserve">Някои заглавия не са структурирани правилно за помощни технологии.</w:t>
      </w:r>
    </w:p>
    <w:p w14:paraId="2AE23792" w14:textId="6B0D5125" w:rsidR="00896DC0" w:rsidRDefault="407DE4EE" w:rsidP="200C443E">
      <w:pPr>
        <w:pStyle w:val="ListParagraph"/>
        <w:widowControl w:val="0"/>
        <w:numPr>
          <w:ilvl w:val="0"/>
          <w:numId w:val="1"/>
        </w:numPr>
        <w:spacing w:after="0"/>
        <w:jc w:val="left"/>
      </w:pPr>
      <w:r>
        <w:t xml:space="preserve">Някои страници съдържат елементи, като например таблици и странични менюта, които може да не са достъпни.</w:t>
      </w:r>
    </w:p>
    <w:p w14:paraId="6CF69CF9" w14:textId="1E9D0B6C" w:rsidR="00896DC0" w:rsidRDefault="407DE4EE">
      <w:pPr>
        <w:pStyle w:val="ListParagraph"/>
        <w:widowControl w:val="0"/>
        <w:numPr>
          <w:ilvl w:val="0"/>
          <w:numId w:val="1"/>
        </w:numPr>
        <w:spacing w:after="0"/>
        <w:jc w:val="left"/>
      </w:pPr>
      <w:r>
        <w:t xml:space="preserve">Някои URL адреси нямат разбираеми или правилни имена на път.</w:t>
      </w:r>
    </w:p>
    <w:p w14:paraId="427C5223" w14:textId="1EB5E7DE" w:rsidR="00BE0E7F" w:rsidRDefault="0803AE8C" w:rsidP="200C443E">
      <w:pPr>
        <w:pStyle w:val="ListParagraph"/>
        <w:widowControl w:val="0"/>
        <w:numPr>
          <w:ilvl w:val="0"/>
          <w:numId w:val="1"/>
        </w:numPr>
        <w:spacing w:after="0"/>
        <w:jc w:val="left"/>
      </w:pPr>
      <w:r>
        <w:t xml:space="preserve">Някои елементи не са изцяло адаптирани за достъпност на мобилни устройства.</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Страница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от </w:t>
            </w:r>
            <w:r>
              <w:rPr>
                <w:b/>
                <w:color w:val="2B579A"/>
                <w:sz w:val="24"/>
                <w:shd w:val="clear" w:color="auto" w:fill="E6E6E6"/>
              </w:rPr>
              <w:fldChar w:fldCharType="begin" w:dirty="true"/>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54723">
        <w:pPr>
          <w:pStyle w:val="Footer"/>
        </w:pPr>
        <w:sdt>
          <w:sdtPr>
            <w:id w:val="-1245179179"/>
            <w:dataBinding w:xpath="/Author/Addresses/Address[Id = 'f03b5801-04c9-4931-aa17-c6d6c70bc579']/Footer" w:storeItemID="{EBD4A2BB-D3C2-4E81-B1F9-6FB82AC3CEB9}"/>
            <w:text w:multiLine="1"/>
          </w:sdtPr>
          <w:sdtEndPr/>
          <w:sdtContent>
            <w:r>
              <w:t xml:space="preserve">Commission européenne/Europese Commissie, 1049 Bruxelles/Brussel, BELGIQUE/BELGIË - Tel. +32 22991111</w:t>
            </w:r>
          </w:sdtContent>
        </w:sdt>
      </w:p>
      <w:p w14:paraId="4B889E1A" w14:textId="5AE6768E" w:rsidR="00EC7351" w:rsidRDefault="00954723">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t xml:space="preserve">     </w:t>
            </w:r>
          </w:sdtContent>
        </w:sdt>
      </w:p>
      <w:p w14:paraId="532621B0" w14:textId="77777777" w:rsidR="00EC7351" w:rsidRDefault="00954723">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dirty"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bg-BG"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n/about-europass/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ЕВРОПЕЙСКА КОМИСИЯ</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ГЕНЕРАЛНА ДИРЕКЦИЯ „ТРУДОВА ЗАЕТОСТ, СОЦИАЛНИ ВЪПРОСИ И ПРИОБЩАВАНЕ“</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Дирекция E „Трудова мобилност и международни въпроси“</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Отдел Е1 „Трудова мобилност, публични служби по заетостта, ЕОТ“</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599</Words>
  <Characters>3420</Characters>
  <Application>Microsoft Office Word</Application>
  <DocSecurity>0</DocSecurity>
  <PresentationFormat>Microsoft Word 14.0</PresentationFormat>
  <Lines>28</Lines>
  <Paragraphs>8</Paragraphs>
  <ScaleCrop>true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SUNDARA SEGARAN Maxine (EMPL-EXT)</cp:lastModifiedBy>
  <cp:revision>2</cp:revision>
  <cp:lastPrinted>2021-10-25T20:16:00Z</cp:lastPrinted>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